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A55F" w14:textId="5C4972AC" w:rsidR="00BA6430" w:rsidRDefault="00FA15D6" w:rsidP="00FA15D6">
      <w:pPr>
        <w:tabs>
          <w:tab w:val="left" w:pos="484"/>
        </w:tabs>
        <w:ind w:right="-330"/>
        <w:rPr>
          <w:rFonts w:ascii="Arial" w:hAnsi="Arial" w:cs="Arial"/>
          <w:b/>
          <w:sz w:val="32"/>
          <w:szCs w:val="32"/>
        </w:rPr>
      </w:pPr>
      <w:r>
        <w:rPr>
          <w:rFonts w:ascii="Arial" w:hAnsi="Arial" w:cs="Arial"/>
          <w:b/>
          <w:sz w:val="32"/>
          <w:szCs w:val="32"/>
        </w:rPr>
        <w:tab/>
      </w:r>
    </w:p>
    <w:p w14:paraId="13D35CC3" w14:textId="38A24473" w:rsidR="00197B7F" w:rsidRPr="009C05F7" w:rsidRDefault="00AD3E98" w:rsidP="00DC6216">
      <w:pPr>
        <w:ind w:right="-330"/>
        <w:jc w:val="center"/>
        <w:rPr>
          <w:rFonts w:ascii="Arial" w:hAnsi="Arial" w:cs="Arial"/>
          <w:b/>
          <w:sz w:val="32"/>
          <w:szCs w:val="32"/>
        </w:rPr>
      </w:pPr>
      <w:r w:rsidRPr="0012738D">
        <w:rPr>
          <w:rFonts w:ascii="Arial" w:hAnsi="Arial" w:cs="Arial"/>
          <w:b/>
          <w:color w:val="92D050"/>
          <w:sz w:val="32"/>
          <w:szCs w:val="32"/>
        </w:rPr>
        <w:t>The</w:t>
      </w:r>
      <w:r w:rsidR="00BD3F32" w:rsidRPr="0012738D">
        <w:rPr>
          <w:rFonts w:ascii="Arial" w:hAnsi="Arial" w:cs="Arial"/>
          <w:b/>
          <w:color w:val="92D050"/>
          <w:sz w:val="32"/>
          <w:szCs w:val="32"/>
        </w:rPr>
        <w:t xml:space="preserve"> </w:t>
      </w:r>
      <w:r w:rsidR="009C05F7" w:rsidRPr="0012738D">
        <w:rPr>
          <w:rFonts w:ascii="Arial" w:hAnsi="Arial" w:cs="Arial"/>
          <w:b/>
          <w:color w:val="92D050"/>
          <w:sz w:val="32"/>
          <w:szCs w:val="32"/>
        </w:rPr>
        <w:t>Video Group Clinic</w:t>
      </w:r>
      <w:r w:rsidR="00810A9F" w:rsidRPr="0012738D">
        <w:rPr>
          <w:rFonts w:ascii="Arial" w:hAnsi="Arial" w:cs="Arial"/>
          <w:b/>
          <w:color w:val="92D050"/>
          <w:sz w:val="32"/>
          <w:szCs w:val="32"/>
        </w:rPr>
        <w:t xml:space="preserve"> </w:t>
      </w:r>
      <w:r w:rsidR="009C05F7" w:rsidRPr="0012738D">
        <w:rPr>
          <w:rFonts w:ascii="Arial" w:hAnsi="Arial" w:cs="Arial"/>
          <w:b/>
          <w:color w:val="92D050"/>
          <w:sz w:val="32"/>
          <w:szCs w:val="32"/>
        </w:rPr>
        <w:t>Pioneer P</w:t>
      </w:r>
      <w:r w:rsidR="00810A9F" w:rsidRPr="0012738D">
        <w:rPr>
          <w:rFonts w:ascii="Arial" w:hAnsi="Arial" w:cs="Arial"/>
          <w:b/>
          <w:color w:val="92D050"/>
          <w:sz w:val="32"/>
          <w:szCs w:val="32"/>
        </w:rPr>
        <w:t>rogramme</w:t>
      </w:r>
      <w:r w:rsidR="009C05F7" w:rsidRPr="009C05F7">
        <w:rPr>
          <w:rFonts w:ascii="Arial" w:hAnsi="Arial" w:cs="Arial"/>
          <w:b/>
          <w:sz w:val="32"/>
          <w:szCs w:val="32"/>
        </w:rPr>
        <w:t>: supporting</w:t>
      </w:r>
      <w:r w:rsidR="009C05F7">
        <w:rPr>
          <w:rFonts w:ascii="Arial" w:hAnsi="Arial" w:cs="Arial"/>
          <w:b/>
          <w:sz w:val="32"/>
          <w:szCs w:val="32"/>
        </w:rPr>
        <w:t xml:space="preserve"> your</w:t>
      </w:r>
      <w:r w:rsidR="009C05F7" w:rsidRPr="009C05F7">
        <w:rPr>
          <w:rFonts w:ascii="Arial" w:hAnsi="Arial" w:cs="Arial"/>
          <w:b/>
          <w:sz w:val="32"/>
          <w:szCs w:val="32"/>
        </w:rPr>
        <w:t xml:space="preserve"> recovery and </w:t>
      </w:r>
      <w:r w:rsidR="009C05F7">
        <w:rPr>
          <w:rFonts w:ascii="Arial" w:hAnsi="Arial" w:cs="Arial"/>
          <w:b/>
          <w:sz w:val="32"/>
          <w:szCs w:val="32"/>
        </w:rPr>
        <w:t xml:space="preserve">facilitating </w:t>
      </w:r>
      <w:r w:rsidR="009C05F7" w:rsidRPr="009C05F7">
        <w:rPr>
          <w:rFonts w:ascii="Arial" w:hAnsi="Arial" w:cs="Arial"/>
          <w:b/>
          <w:sz w:val="32"/>
          <w:szCs w:val="32"/>
        </w:rPr>
        <w:t xml:space="preserve">catch up with chronic disease management </w:t>
      </w:r>
      <w:r w:rsidR="00810A9F" w:rsidRPr="009C05F7">
        <w:rPr>
          <w:rFonts w:ascii="Arial" w:hAnsi="Arial" w:cs="Arial"/>
          <w:b/>
          <w:sz w:val="32"/>
          <w:szCs w:val="32"/>
        </w:rPr>
        <w:t xml:space="preserve"> </w:t>
      </w:r>
    </w:p>
    <w:p w14:paraId="772CC63D" w14:textId="12172323" w:rsidR="00A47F1B" w:rsidRPr="00AB1CC4" w:rsidRDefault="00197B7F" w:rsidP="00BA6430">
      <w:pPr>
        <w:ind w:right="-330"/>
        <w:rPr>
          <w:rFonts w:ascii="Arial" w:hAnsi="Arial" w:cs="Arial"/>
          <w:b/>
          <w:color w:val="92D050"/>
          <w:sz w:val="28"/>
          <w:szCs w:val="28"/>
        </w:rPr>
      </w:pPr>
      <w:r w:rsidRPr="00AB1CC4">
        <w:rPr>
          <w:rFonts w:ascii="Arial" w:hAnsi="Arial" w:cs="Arial"/>
          <w:b/>
          <w:color w:val="92D050"/>
          <w:sz w:val="28"/>
          <w:szCs w:val="28"/>
        </w:rPr>
        <w:t xml:space="preserve"> </w:t>
      </w:r>
      <w:r w:rsidR="00A47F1B" w:rsidRPr="00AB1CC4">
        <w:rPr>
          <w:rFonts w:ascii="Arial" w:hAnsi="Arial" w:cs="Arial"/>
          <w:b/>
          <w:color w:val="92D050"/>
          <w:sz w:val="24"/>
        </w:rPr>
        <w:t>Introduction</w:t>
      </w:r>
    </w:p>
    <w:p w14:paraId="6F38C377" w14:textId="7737D6BE" w:rsidR="009C05F7" w:rsidRPr="00E53458" w:rsidRDefault="00E53458" w:rsidP="0024585A">
      <w:pPr>
        <w:ind w:right="-330"/>
        <w:rPr>
          <w:rFonts w:ascii="Arial" w:hAnsi="Arial" w:cs="Arial"/>
          <w:sz w:val="24"/>
          <w:szCs w:val="24"/>
        </w:rPr>
      </w:pPr>
      <w:r w:rsidRPr="00E53458">
        <w:rPr>
          <w:rFonts w:ascii="Arial" w:hAnsi="Arial" w:cs="Arial"/>
          <w:sz w:val="24"/>
          <w:szCs w:val="24"/>
        </w:rPr>
        <w:t>Wirral Training Hub</w:t>
      </w:r>
      <w:r w:rsidR="009C05F7" w:rsidRPr="00E53458">
        <w:rPr>
          <w:rFonts w:ascii="Arial" w:hAnsi="Arial" w:cs="Arial"/>
          <w:sz w:val="24"/>
          <w:szCs w:val="24"/>
        </w:rPr>
        <w:t xml:space="preserve"> is </w:t>
      </w:r>
      <w:r w:rsidRPr="00E53458">
        <w:rPr>
          <w:rFonts w:ascii="Arial" w:hAnsi="Arial" w:cs="Arial"/>
          <w:sz w:val="24"/>
          <w:szCs w:val="24"/>
        </w:rPr>
        <w:t xml:space="preserve">considering </w:t>
      </w:r>
      <w:r w:rsidR="009C05F7" w:rsidRPr="00E53458">
        <w:rPr>
          <w:rFonts w:ascii="Arial" w:hAnsi="Arial" w:cs="Arial"/>
          <w:sz w:val="24"/>
          <w:szCs w:val="24"/>
        </w:rPr>
        <w:t xml:space="preserve">providing </w:t>
      </w:r>
      <w:r w:rsidRPr="00E53458">
        <w:rPr>
          <w:rFonts w:ascii="Arial" w:hAnsi="Arial" w:cs="Arial"/>
          <w:sz w:val="24"/>
          <w:szCs w:val="24"/>
        </w:rPr>
        <w:t>primary care networks (PCNs)</w:t>
      </w:r>
      <w:r w:rsidR="00BD3F32" w:rsidRPr="00E53458">
        <w:rPr>
          <w:rFonts w:ascii="Arial" w:hAnsi="Arial" w:cs="Arial"/>
          <w:sz w:val="24"/>
          <w:szCs w:val="24"/>
        </w:rPr>
        <w:t xml:space="preserve"> with intensive support </w:t>
      </w:r>
      <w:r w:rsidR="009C05F7" w:rsidRPr="00E53458">
        <w:rPr>
          <w:rFonts w:ascii="Arial" w:hAnsi="Arial" w:cs="Arial"/>
          <w:sz w:val="24"/>
          <w:szCs w:val="24"/>
        </w:rPr>
        <w:t>to pioneer the use of video group clinics (VGCs).</w:t>
      </w:r>
    </w:p>
    <w:p w14:paraId="38F3BD53" w14:textId="77777777" w:rsidR="00FE1346" w:rsidRPr="00AB1CC4" w:rsidRDefault="00FE1346" w:rsidP="00FE1346">
      <w:pPr>
        <w:ind w:right="-330"/>
        <w:rPr>
          <w:rFonts w:ascii="Arial" w:hAnsi="Arial" w:cs="Arial"/>
          <w:b/>
          <w:color w:val="92D050"/>
          <w:sz w:val="24"/>
          <w:szCs w:val="24"/>
        </w:rPr>
      </w:pPr>
      <w:r w:rsidRPr="00AB1CC4">
        <w:rPr>
          <w:rFonts w:ascii="Arial" w:hAnsi="Arial" w:cs="Arial"/>
          <w:b/>
          <w:color w:val="92D050"/>
          <w:sz w:val="24"/>
          <w:szCs w:val="24"/>
        </w:rPr>
        <w:t>Why set up VGCs? What are the benefits?</w:t>
      </w:r>
    </w:p>
    <w:p w14:paraId="79B2EBA5" w14:textId="77777777" w:rsidR="00FE1346" w:rsidRDefault="00FE1346" w:rsidP="00FE1346">
      <w:pPr>
        <w:ind w:right="-330"/>
        <w:rPr>
          <w:rFonts w:ascii="Arial" w:hAnsi="Arial" w:cs="Arial"/>
          <w:sz w:val="24"/>
          <w:szCs w:val="24"/>
        </w:rPr>
      </w:pPr>
      <w:r>
        <w:rPr>
          <w:rFonts w:ascii="Arial" w:hAnsi="Arial" w:cs="Arial"/>
          <w:sz w:val="24"/>
          <w:szCs w:val="24"/>
        </w:rPr>
        <w:t>VGCs are a transformative way of delivering planned care and supporting people to take control and manage their health issues. They work especially well for people who live with long term conditions like diabetes, COPD an asthma; conditions that account for the bulk of primary care’s chronic disease management workload and where QOF reviews are mandated.  VGCs offer:</w:t>
      </w:r>
    </w:p>
    <w:p w14:paraId="6007189E" w14:textId="77777777" w:rsidR="00FE1346" w:rsidRDefault="00FE1346" w:rsidP="00FE1346">
      <w:pPr>
        <w:pStyle w:val="ListParagraph"/>
        <w:numPr>
          <w:ilvl w:val="0"/>
          <w:numId w:val="19"/>
        </w:numPr>
        <w:ind w:right="-330"/>
        <w:rPr>
          <w:rFonts w:ascii="Arial" w:hAnsi="Arial" w:cs="Arial"/>
          <w:sz w:val="24"/>
          <w:szCs w:val="24"/>
        </w:rPr>
      </w:pPr>
      <w:r w:rsidRPr="00DC6216">
        <w:rPr>
          <w:rFonts w:ascii="Arial" w:hAnsi="Arial" w:cs="Arial"/>
          <w:b/>
          <w:sz w:val="24"/>
          <w:szCs w:val="24"/>
        </w:rPr>
        <w:t>Significant clinician time savings.</w:t>
      </w:r>
      <w:r w:rsidRPr="00DC6216">
        <w:rPr>
          <w:rFonts w:ascii="Arial" w:hAnsi="Arial" w:cs="Arial"/>
          <w:sz w:val="24"/>
          <w:szCs w:val="24"/>
        </w:rPr>
        <w:t xml:space="preserve"> </w:t>
      </w:r>
      <w:r>
        <w:rPr>
          <w:rFonts w:ascii="Arial" w:hAnsi="Arial" w:cs="Arial"/>
          <w:sz w:val="24"/>
          <w:szCs w:val="24"/>
        </w:rPr>
        <w:t>Clinicians report that clinical reviews in VGCs take around 5 minutes per patient compared to 15-25 minutes when delivered one to one. Clinicians usually review 6-8 patients in 30 minutes, representing a 60-80% time efficiency gain</w:t>
      </w:r>
      <w:r>
        <w:rPr>
          <w:rStyle w:val="FootnoteReference"/>
          <w:rFonts w:ascii="Arial" w:hAnsi="Arial" w:cs="Arial"/>
          <w:sz w:val="24"/>
          <w:szCs w:val="24"/>
        </w:rPr>
        <w:footnoteReference w:id="1"/>
      </w:r>
    </w:p>
    <w:p w14:paraId="0B485306" w14:textId="77777777" w:rsidR="00FE1346" w:rsidRDefault="00FE1346" w:rsidP="00FE1346">
      <w:pPr>
        <w:pStyle w:val="ListParagraph"/>
        <w:numPr>
          <w:ilvl w:val="0"/>
          <w:numId w:val="19"/>
        </w:numPr>
        <w:ind w:right="-330"/>
        <w:rPr>
          <w:rFonts w:ascii="Arial" w:hAnsi="Arial" w:cs="Arial"/>
          <w:sz w:val="24"/>
          <w:szCs w:val="24"/>
        </w:rPr>
      </w:pPr>
      <w:r w:rsidRPr="00DC6216">
        <w:rPr>
          <w:rFonts w:ascii="Arial" w:hAnsi="Arial" w:cs="Arial"/>
          <w:b/>
          <w:sz w:val="24"/>
          <w:szCs w:val="24"/>
        </w:rPr>
        <w:t>Quality and QOF improvement.</w:t>
      </w:r>
      <w:r w:rsidRPr="00DC6216">
        <w:rPr>
          <w:rFonts w:ascii="Arial" w:hAnsi="Arial" w:cs="Arial"/>
          <w:sz w:val="24"/>
          <w:szCs w:val="24"/>
        </w:rPr>
        <w:t xml:space="preserve"> </w:t>
      </w:r>
      <w:r>
        <w:rPr>
          <w:rFonts w:ascii="Arial" w:hAnsi="Arial" w:cs="Arial"/>
          <w:sz w:val="24"/>
          <w:szCs w:val="24"/>
        </w:rPr>
        <w:t xml:space="preserve">A GP practice that adopted group clinics as their </w:t>
      </w:r>
      <w:proofErr w:type="spellStart"/>
      <w:r>
        <w:rPr>
          <w:rFonts w:ascii="Arial" w:hAnsi="Arial" w:cs="Arial"/>
          <w:sz w:val="24"/>
          <w:szCs w:val="24"/>
        </w:rPr>
        <w:t>fist</w:t>
      </w:r>
      <w:proofErr w:type="spellEnd"/>
      <w:r>
        <w:rPr>
          <w:rFonts w:ascii="Arial" w:hAnsi="Arial" w:cs="Arial"/>
          <w:sz w:val="24"/>
          <w:szCs w:val="24"/>
        </w:rPr>
        <w:t xml:space="preserve"> point of contact for people living with diabetes saw a 18% uplift in QOF in its first year, with a further uplift in year two</w:t>
      </w:r>
    </w:p>
    <w:p w14:paraId="70A5B6B0" w14:textId="77777777" w:rsidR="00FE1346" w:rsidRDefault="00FE1346" w:rsidP="00FE1346">
      <w:pPr>
        <w:pStyle w:val="ListParagraph"/>
        <w:numPr>
          <w:ilvl w:val="0"/>
          <w:numId w:val="19"/>
        </w:numPr>
        <w:ind w:right="-330"/>
        <w:rPr>
          <w:rFonts w:ascii="Arial" w:hAnsi="Arial" w:cs="Arial"/>
          <w:sz w:val="24"/>
          <w:szCs w:val="24"/>
        </w:rPr>
      </w:pPr>
      <w:r w:rsidRPr="00DC6216">
        <w:rPr>
          <w:rFonts w:ascii="Arial" w:hAnsi="Arial" w:cs="Arial"/>
          <w:b/>
          <w:sz w:val="24"/>
          <w:szCs w:val="24"/>
        </w:rPr>
        <w:t>Improved experience of care:</w:t>
      </w:r>
      <w:r w:rsidRPr="00DC6216">
        <w:rPr>
          <w:rFonts w:ascii="Arial" w:hAnsi="Arial" w:cs="Arial"/>
          <w:sz w:val="24"/>
          <w:szCs w:val="24"/>
        </w:rPr>
        <w:t xml:space="preserve">  </w:t>
      </w:r>
      <w:r>
        <w:rPr>
          <w:rFonts w:ascii="Arial" w:hAnsi="Arial" w:cs="Arial"/>
          <w:sz w:val="24"/>
          <w:szCs w:val="24"/>
        </w:rPr>
        <w:t>clinicians report that group clinics restore joy to both remote and face to face consultations. Patients report extremely high levels of satisfaction with their group clinic experiences too</w:t>
      </w:r>
    </w:p>
    <w:p w14:paraId="205E6FE8" w14:textId="77777777" w:rsidR="00FE1346" w:rsidRDefault="00FE1346" w:rsidP="00FE1346">
      <w:pPr>
        <w:pStyle w:val="ListParagraph"/>
        <w:numPr>
          <w:ilvl w:val="0"/>
          <w:numId w:val="19"/>
        </w:numPr>
        <w:ind w:right="-330"/>
        <w:rPr>
          <w:rFonts w:ascii="Arial" w:hAnsi="Arial" w:cs="Arial"/>
          <w:sz w:val="24"/>
          <w:szCs w:val="24"/>
        </w:rPr>
      </w:pPr>
      <w:r w:rsidRPr="00DC6216">
        <w:rPr>
          <w:rFonts w:ascii="Arial" w:hAnsi="Arial" w:cs="Arial"/>
          <w:b/>
          <w:sz w:val="24"/>
          <w:szCs w:val="24"/>
        </w:rPr>
        <w:t>Sustainable delivery of personalised care:</w:t>
      </w:r>
      <w:r w:rsidRPr="00DC6216">
        <w:rPr>
          <w:rFonts w:ascii="Arial" w:hAnsi="Arial" w:cs="Arial"/>
          <w:sz w:val="24"/>
          <w:szCs w:val="24"/>
        </w:rPr>
        <w:t xml:space="preserve"> </w:t>
      </w:r>
      <w:r>
        <w:rPr>
          <w:rFonts w:ascii="Arial" w:hAnsi="Arial" w:cs="Arial"/>
          <w:sz w:val="24"/>
          <w:szCs w:val="24"/>
        </w:rPr>
        <w:t>the group clinic process mirrors care and support planning because patients see their results and decide their questions before the clinician joins. Then after their consultation with the clinician, they are supported to set goals. VGCs will help you deliver the Year of Care</w:t>
      </w:r>
    </w:p>
    <w:p w14:paraId="6DE0B5AA" w14:textId="2C0683B1" w:rsidR="00FE1346" w:rsidRPr="00FE1346" w:rsidRDefault="00FE1346" w:rsidP="00FE1346">
      <w:pPr>
        <w:pStyle w:val="ListParagraph"/>
        <w:numPr>
          <w:ilvl w:val="0"/>
          <w:numId w:val="19"/>
        </w:numPr>
        <w:ind w:right="-330"/>
        <w:rPr>
          <w:rFonts w:ascii="Arial" w:hAnsi="Arial" w:cs="Arial"/>
          <w:sz w:val="24"/>
          <w:szCs w:val="24"/>
        </w:rPr>
      </w:pPr>
      <w:r w:rsidRPr="00DC6216">
        <w:rPr>
          <w:rFonts w:ascii="Arial" w:hAnsi="Arial" w:cs="Arial"/>
          <w:b/>
          <w:sz w:val="24"/>
          <w:szCs w:val="24"/>
        </w:rPr>
        <w:t xml:space="preserve">Better outcomes in diabetes: </w:t>
      </w:r>
      <w:r w:rsidRPr="009C05F7">
        <w:rPr>
          <w:rFonts w:ascii="Arial" w:hAnsi="Arial" w:cs="Arial"/>
          <w:sz w:val="24"/>
          <w:szCs w:val="24"/>
        </w:rPr>
        <w:t xml:space="preserve">there is </w:t>
      </w:r>
      <w:r>
        <w:rPr>
          <w:rFonts w:ascii="Arial" w:hAnsi="Arial" w:cs="Arial"/>
          <w:sz w:val="24"/>
          <w:szCs w:val="24"/>
        </w:rPr>
        <w:t xml:space="preserve">Level One (randomised controlled trial) evidence that group clinics improve HbA1c and blood pressure in diabetes compared to </w:t>
      </w:r>
      <w:proofErr w:type="gramStart"/>
      <w:r>
        <w:rPr>
          <w:rFonts w:ascii="Arial" w:hAnsi="Arial" w:cs="Arial"/>
          <w:sz w:val="24"/>
          <w:szCs w:val="24"/>
        </w:rPr>
        <w:t>one to one</w:t>
      </w:r>
      <w:proofErr w:type="gramEnd"/>
      <w:r>
        <w:rPr>
          <w:rFonts w:ascii="Arial" w:hAnsi="Arial" w:cs="Arial"/>
          <w:sz w:val="24"/>
          <w:szCs w:val="24"/>
        </w:rPr>
        <w:t xml:space="preserve"> appointments </w:t>
      </w:r>
      <w:r>
        <w:rPr>
          <w:rStyle w:val="FootnoteReference"/>
          <w:rFonts w:ascii="Arial" w:hAnsi="Arial" w:cs="Arial"/>
          <w:sz w:val="24"/>
          <w:szCs w:val="24"/>
        </w:rPr>
        <w:footnoteReference w:id="2"/>
      </w:r>
    </w:p>
    <w:p w14:paraId="60A63E41" w14:textId="77777777" w:rsidR="00FE1346" w:rsidRPr="00431092" w:rsidRDefault="00FE1346" w:rsidP="00FE1346">
      <w:pPr>
        <w:ind w:right="-330"/>
        <w:rPr>
          <w:rFonts w:ascii="Arial" w:hAnsi="Arial" w:cs="Arial"/>
          <w:b/>
          <w:sz w:val="24"/>
          <w:szCs w:val="24"/>
        </w:rPr>
      </w:pPr>
      <w:r>
        <w:rPr>
          <w:rFonts w:ascii="Arial" w:hAnsi="Arial" w:cs="Arial"/>
          <w:sz w:val="24"/>
          <w:szCs w:val="24"/>
        </w:rPr>
        <w:t>For more information about video group clinics and illustrative case studies of best practice, go to:</w:t>
      </w:r>
      <w:r>
        <w:rPr>
          <w:rFonts w:ascii="Arial" w:hAnsi="Arial" w:cs="Arial"/>
          <w:b/>
          <w:sz w:val="24"/>
          <w:szCs w:val="24"/>
        </w:rPr>
        <w:t xml:space="preserve"> </w:t>
      </w:r>
      <w:hyperlink r:id="rId8" w:history="1">
        <w:r w:rsidRPr="001D5CD7">
          <w:rPr>
            <w:rStyle w:val="Hyperlink"/>
            <w:rFonts w:ascii="Arial" w:hAnsi="Arial" w:cs="Arial"/>
            <w:sz w:val="24"/>
            <w:szCs w:val="24"/>
          </w:rPr>
          <w:t>www.redmoorelc.co.uk/resources</w:t>
        </w:r>
      </w:hyperlink>
    </w:p>
    <w:p w14:paraId="64AF3B6C" w14:textId="16FFC044" w:rsidR="00FE1346" w:rsidRDefault="00FE1346" w:rsidP="00FE1346">
      <w:pPr>
        <w:ind w:right="-330"/>
        <w:rPr>
          <w:rFonts w:ascii="Arial" w:hAnsi="Arial" w:cs="Arial"/>
          <w:sz w:val="24"/>
          <w:szCs w:val="24"/>
        </w:rPr>
      </w:pPr>
      <w:r>
        <w:rPr>
          <w:rFonts w:ascii="Arial" w:hAnsi="Arial" w:cs="Arial"/>
          <w:sz w:val="24"/>
          <w:szCs w:val="24"/>
        </w:rPr>
        <w:t xml:space="preserve">We see group clinics as an essential element of primary care development. For this reason, this programme is now available to help your practice to explore the benefits of video group clinics (VGCs). </w:t>
      </w:r>
    </w:p>
    <w:p w14:paraId="31878915" w14:textId="77777777" w:rsidR="00FE1346" w:rsidRPr="00AB1CC4" w:rsidRDefault="00FE1346" w:rsidP="00FE1346">
      <w:pPr>
        <w:ind w:right="-330"/>
        <w:rPr>
          <w:rFonts w:ascii="Arial" w:hAnsi="Arial" w:cs="Arial"/>
          <w:b/>
          <w:bCs/>
          <w:color w:val="92D050"/>
          <w:sz w:val="24"/>
          <w:szCs w:val="24"/>
        </w:rPr>
      </w:pPr>
      <w:r w:rsidRPr="00AB1CC4">
        <w:rPr>
          <w:rFonts w:ascii="Arial" w:hAnsi="Arial" w:cs="Arial"/>
          <w:b/>
          <w:bCs/>
          <w:color w:val="92D050"/>
          <w:sz w:val="24"/>
          <w:szCs w:val="24"/>
        </w:rPr>
        <w:lastRenderedPageBreak/>
        <w:t>How do VGCs work?</w:t>
      </w:r>
    </w:p>
    <w:p w14:paraId="37A2C538" w14:textId="77777777" w:rsidR="00FE1346" w:rsidRDefault="00FE1346" w:rsidP="00FE1346">
      <w:pPr>
        <w:ind w:right="-330"/>
        <w:rPr>
          <w:rFonts w:ascii="Arial" w:hAnsi="Arial" w:cs="Arial"/>
          <w:bCs/>
          <w:sz w:val="24"/>
          <w:szCs w:val="24"/>
        </w:rPr>
      </w:pPr>
      <w:r w:rsidRPr="00790822">
        <w:rPr>
          <w:rFonts w:ascii="Arial" w:hAnsi="Arial" w:cs="Arial"/>
          <w:bCs/>
          <w:sz w:val="24"/>
          <w:szCs w:val="24"/>
        </w:rPr>
        <w:t>To understand how VGCs work, please watch this short video</w:t>
      </w:r>
      <w:r>
        <w:rPr>
          <w:rFonts w:ascii="Arial" w:hAnsi="Arial" w:cs="Arial"/>
          <w:bCs/>
          <w:sz w:val="24"/>
          <w:szCs w:val="24"/>
        </w:rPr>
        <w:t>. it explains how VGCs flow; how to manage risk and sets out the three key roles within VGCs. It will answer your questions about the VGC process and how it works</w:t>
      </w:r>
      <w:r w:rsidRPr="00790822">
        <w:rPr>
          <w:rFonts w:ascii="Arial" w:hAnsi="Arial" w:cs="Arial"/>
          <w:bCs/>
          <w:sz w:val="24"/>
          <w:szCs w:val="24"/>
        </w:rPr>
        <w:t>:</w:t>
      </w:r>
    </w:p>
    <w:p w14:paraId="7A74BFF8" w14:textId="77777777" w:rsidR="00FE1346" w:rsidRPr="00790822" w:rsidRDefault="00FE1346" w:rsidP="00FE1346">
      <w:pPr>
        <w:ind w:right="-330"/>
        <w:rPr>
          <w:rFonts w:ascii="Arial" w:hAnsi="Arial" w:cs="Arial"/>
          <w:bCs/>
          <w:sz w:val="24"/>
          <w:szCs w:val="24"/>
        </w:rPr>
      </w:pPr>
      <w:r w:rsidRPr="007D180A">
        <w:rPr>
          <w:rFonts w:ascii="Arial" w:eastAsia="Times New Roman" w:hAnsi="Arial" w:cs="Arial"/>
          <w:color w:val="0000EE"/>
          <w:sz w:val="24"/>
          <w:szCs w:val="24"/>
          <w:u w:val="single"/>
          <w:shd w:val="clear" w:color="auto" w:fill="FFFFFF"/>
        </w:rPr>
        <w:t>https://www.youtube.com/watch?v=5Av9gBX2KwI&amp;feature=youtu.be</w:t>
      </w:r>
    </w:p>
    <w:p w14:paraId="6BF589FF" w14:textId="77777777" w:rsidR="00FE1346" w:rsidRPr="0031759F" w:rsidRDefault="00FE1346" w:rsidP="00FE1346">
      <w:pPr>
        <w:ind w:right="-330"/>
        <w:rPr>
          <w:rFonts w:ascii="Arial" w:hAnsi="Arial" w:cs="Arial"/>
          <w:b/>
          <w:bCs/>
          <w:color w:val="92D050"/>
          <w:sz w:val="24"/>
          <w:szCs w:val="24"/>
        </w:rPr>
      </w:pPr>
      <w:r w:rsidRPr="0031759F">
        <w:rPr>
          <w:rFonts w:ascii="Arial" w:hAnsi="Arial" w:cs="Arial"/>
          <w:b/>
          <w:bCs/>
          <w:color w:val="92D050"/>
          <w:sz w:val="24"/>
          <w:szCs w:val="24"/>
        </w:rPr>
        <w:t xml:space="preserve">Who needs to be trained? </w:t>
      </w:r>
    </w:p>
    <w:p w14:paraId="568E464D" w14:textId="77777777" w:rsidR="00FE1346" w:rsidRPr="00C40916" w:rsidRDefault="00FE1346" w:rsidP="00FE1346">
      <w:pPr>
        <w:rPr>
          <w:rFonts w:ascii="Arial" w:hAnsi="Arial" w:cs="Arial"/>
          <w:sz w:val="24"/>
          <w:szCs w:val="24"/>
          <w:lang w:val="en-US"/>
        </w:rPr>
      </w:pPr>
      <w:r w:rsidRPr="00C40916">
        <w:rPr>
          <w:rFonts w:ascii="Arial" w:hAnsi="Arial" w:cs="Arial"/>
          <w:sz w:val="24"/>
          <w:szCs w:val="24"/>
          <w:lang w:val="en-US"/>
        </w:rPr>
        <w:t>Best practice in VGC spread shows that a minimum of 4 people must be trained</w:t>
      </w:r>
      <w:r>
        <w:rPr>
          <w:rFonts w:ascii="Arial" w:hAnsi="Arial" w:cs="Arial"/>
          <w:sz w:val="24"/>
          <w:szCs w:val="24"/>
          <w:lang w:val="en-US"/>
        </w:rPr>
        <w:t xml:space="preserve"> to build a successful VGC team</w:t>
      </w:r>
      <w:r w:rsidRPr="00C40916">
        <w:rPr>
          <w:rFonts w:ascii="Arial" w:hAnsi="Arial" w:cs="Arial"/>
          <w:sz w:val="24"/>
          <w:szCs w:val="24"/>
          <w:lang w:val="en-US"/>
        </w:rPr>
        <w:t>. The people who need to be trained include:</w:t>
      </w:r>
    </w:p>
    <w:p w14:paraId="2B2BDEED" w14:textId="77777777" w:rsidR="00FE1346" w:rsidRPr="00C40916" w:rsidRDefault="00FE1346" w:rsidP="00FE1346">
      <w:pPr>
        <w:pStyle w:val="ListParagraph"/>
        <w:numPr>
          <w:ilvl w:val="0"/>
          <w:numId w:val="23"/>
        </w:numPr>
        <w:spacing w:after="0" w:line="240" w:lineRule="auto"/>
        <w:rPr>
          <w:rFonts w:ascii="Arial" w:hAnsi="Arial" w:cs="Arial"/>
          <w:sz w:val="24"/>
          <w:szCs w:val="24"/>
          <w:lang w:val="en-US"/>
        </w:rPr>
      </w:pPr>
      <w:r w:rsidRPr="00C40916">
        <w:rPr>
          <w:rFonts w:ascii="Arial" w:hAnsi="Arial" w:cs="Arial"/>
          <w:b/>
          <w:sz w:val="24"/>
          <w:szCs w:val="24"/>
          <w:lang w:val="en-US"/>
        </w:rPr>
        <w:t xml:space="preserve">Administrators </w:t>
      </w:r>
      <w:r w:rsidRPr="00C40916">
        <w:rPr>
          <w:rFonts w:ascii="Arial" w:hAnsi="Arial" w:cs="Arial"/>
          <w:sz w:val="24"/>
          <w:szCs w:val="24"/>
          <w:lang w:val="en-US"/>
        </w:rPr>
        <w:t xml:space="preserve">who will be supporting VGC scheduling, patient recruitment </w:t>
      </w:r>
    </w:p>
    <w:p w14:paraId="4D13F39A" w14:textId="77777777" w:rsidR="00FE1346" w:rsidRPr="00C40916" w:rsidRDefault="00FE1346" w:rsidP="00FE1346">
      <w:pPr>
        <w:pStyle w:val="ListParagraph"/>
        <w:numPr>
          <w:ilvl w:val="0"/>
          <w:numId w:val="23"/>
        </w:numPr>
        <w:spacing w:after="0" w:line="240" w:lineRule="auto"/>
        <w:rPr>
          <w:rFonts w:ascii="Arial" w:hAnsi="Arial" w:cs="Arial"/>
          <w:sz w:val="24"/>
          <w:szCs w:val="24"/>
          <w:lang w:val="en-US"/>
        </w:rPr>
      </w:pPr>
      <w:r w:rsidRPr="00C40916">
        <w:rPr>
          <w:rFonts w:ascii="Arial" w:hAnsi="Arial" w:cs="Arial"/>
          <w:b/>
          <w:sz w:val="24"/>
          <w:szCs w:val="24"/>
          <w:lang w:val="en-US"/>
        </w:rPr>
        <w:t xml:space="preserve">Clinicians </w:t>
      </w:r>
      <w:r w:rsidRPr="00C40916">
        <w:rPr>
          <w:rFonts w:ascii="Arial" w:hAnsi="Arial" w:cs="Arial"/>
          <w:sz w:val="24"/>
          <w:szCs w:val="24"/>
          <w:lang w:val="en-US"/>
        </w:rPr>
        <w:t xml:space="preserve">who will be consulting in VGC </w:t>
      </w:r>
      <w:proofErr w:type="gramStart"/>
      <w:r w:rsidRPr="00C40916">
        <w:rPr>
          <w:rFonts w:ascii="Arial" w:hAnsi="Arial" w:cs="Arial"/>
          <w:sz w:val="24"/>
          <w:szCs w:val="24"/>
          <w:lang w:val="en-US"/>
        </w:rPr>
        <w:t>e.g.</w:t>
      </w:r>
      <w:proofErr w:type="gramEnd"/>
      <w:r w:rsidRPr="00C40916">
        <w:rPr>
          <w:rFonts w:ascii="Arial" w:hAnsi="Arial" w:cs="Arial"/>
          <w:sz w:val="24"/>
          <w:szCs w:val="24"/>
          <w:lang w:val="en-US"/>
        </w:rPr>
        <w:t xml:space="preserve"> practice nurses, GOPs, clinical pharmacists</w:t>
      </w:r>
    </w:p>
    <w:p w14:paraId="11753C0E" w14:textId="0DD942A9" w:rsidR="00FE1346" w:rsidRDefault="00FE1346" w:rsidP="00FE1346">
      <w:pPr>
        <w:pStyle w:val="ListParagraph"/>
        <w:numPr>
          <w:ilvl w:val="0"/>
          <w:numId w:val="23"/>
        </w:numPr>
        <w:spacing w:after="0" w:line="240" w:lineRule="auto"/>
        <w:rPr>
          <w:rFonts w:ascii="Arial" w:hAnsi="Arial" w:cs="Arial"/>
          <w:sz w:val="24"/>
          <w:szCs w:val="24"/>
          <w:lang w:val="en-US"/>
        </w:rPr>
      </w:pPr>
      <w:r w:rsidRPr="00C40916">
        <w:rPr>
          <w:rFonts w:ascii="Arial" w:hAnsi="Arial" w:cs="Arial"/>
          <w:b/>
          <w:sz w:val="24"/>
          <w:szCs w:val="24"/>
          <w:lang w:val="en-US"/>
        </w:rPr>
        <w:t>People who will act as VGC facilitators</w:t>
      </w:r>
      <w:r w:rsidRPr="00C40916">
        <w:rPr>
          <w:rFonts w:ascii="Arial" w:hAnsi="Arial" w:cs="Arial"/>
          <w:sz w:val="24"/>
          <w:szCs w:val="24"/>
          <w:lang w:val="en-US"/>
        </w:rPr>
        <w:t xml:space="preserve"> </w:t>
      </w:r>
      <w:proofErr w:type="gramStart"/>
      <w:r w:rsidRPr="00C40916">
        <w:rPr>
          <w:rFonts w:ascii="Arial" w:hAnsi="Arial" w:cs="Arial"/>
          <w:sz w:val="24"/>
          <w:szCs w:val="24"/>
          <w:lang w:val="en-US"/>
        </w:rPr>
        <w:t>e.g.</w:t>
      </w:r>
      <w:proofErr w:type="gramEnd"/>
      <w:r w:rsidRPr="00C40916">
        <w:rPr>
          <w:rFonts w:ascii="Arial" w:hAnsi="Arial" w:cs="Arial"/>
          <w:sz w:val="24"/>
          <w:szCs w:val="24"/>
          <w:lang w:val="en-US"/>
        </w:rPr>
        <w:t xml:space="preserve"> health care assistants, </w:t>
      </w:r>
      <w:r>
        <w:rPr>
          <w:rFonts w:ascii="Arial" w:hAnsi="Arial" w:cs="Arial"/>
          <w:sz w:val="24"/>
          <w:szCs w:val="24"/>
          <w:lang w:val="en-US"/>
        </w:rPr>
        <w:t xml:space="preserve">general practice assistants, </w:t>
      </w:r>
      <w:r w:rsidRPr="00C40916">
        <w:rPr>
          <w:rFonts w:ascii="Arial" w:hAnsi="Arial" w:cs="Arial"/>
          <w:sz w:val="24"/>
          <w:szCs w:val="24"/>
          <w:lang w:val="en-US"/>
        </w:rPr>
        <w:t xml:space="preserve">care </w:t>
      </w:r>
      <w:r w:rsidR="00DC6216" w:rsidRPr="00C40916">
        <w:rPr>
          <w:rFonts w:ascii="Arial" w:hAnsi="Arial" w:cs="Arial"/>
          <w:sz w:val="24"/>
          <w:szCs w:val="24"/>
          <w:lang w:val="en-US"/>
        </w:rPr>
        <w:t>coordinators</w:t>
      </w:r>
      <w:r w:rsidRPr="00C40916">
        <w:rPr>
          <w:rFonts w:ascii="Arial" w:hAnsi="Arial" w:cs="Arial"/>
          <w:sz w:val="24"/>
          <w:szCs w:val="24"/>
          <w:lang w:val="en-US"/>
        </w:rPr>
        <w:t>, social prescribing link workers, health and wellbeing coaches, experienced receptionists or administrator keen to take on this new role as part of their personal and professional development</w:t>
      </w:r>
    </w:p>
    <w:p w14:paraId="598DA825" w14:textId="77777777" w:rsidR="00FE1346" w:rsidRDefault="00FE1346" w:rsidP="00FE1346">
      <w:pPr>
        <w:spacing w:after="0" w:line="240" w:lineRule="auto"/>
        <w:rPr>
          <w:rFonts w:ascii="Arial" w:hAnsi="Arial" w:cs="Arial"/>
          <w:sz w:val="24"/>
          <w:szCs w:val="24"/>
          <w:lang w:val="en-US"/>
        </w:rPr>
      </w:pPr>
    </w:p>
    <w:p w14:paraId="2A788316" w14:textId="77777777" w:rsidR="00FE1346" w:rsidRPr="00AB1CC4" w:rsidRDefault="00FE1346" w:rsidP="00FE1346">
      <w:pPr>
        <w:spacing w:after="0" w:line="240" w:lineRule="auto"/>
        <w:rPr>
          <w:rFonts w:ascii="Arial" w:hAnsi="Arial" w:cs="Arial"/>
          <w:b/>
          <w:color w:val="92D050"/>
          <w:sz w:val="24"/>
          <w:szCs w:val="24"/>
          <w:lang w:val="en-US"/>
        </w:rPr>
      </w:pPr>
      <w:r w:rsidRPr="00AB1CC4">
        <w:rPr>
          <w:rFonts w:ascii="Arial" w:hAnsi="Arial" w:cs="Arial"/>
          <w:b/>
          <w:color w:val="92D050"/>
          <w:sz w:val="24"/>
          <w:szCs w:val="24"/>
          <w:lang w:val="en-US"/>
        </w:rPr>
        <w:t>How much time will it take?</w:t>
      </w:r>
    </w:p>
    <w:p w14:paraId="6C49AF31" w14:textId="77777777" w:rsidR="00FE1346" w:rsidRDefault="00FE1346" w:rsidP="00FE1346">
      <w:pPr>
        <w:spacing w:after="0" w:line="240" w:lineRule="auto"/>
        <w:rPr>
          <w:rFonts w:ascii="Arial" w:hAnsi="Arial" w:cs="Arial"/>
          <w:sz w:val="24"/>
          <w:szCs w:val="24"/>
          <w:lang w:val="en-US"/>
        </w:rPr>
      </w:pPr>
    </w:p>
    <w:p w14:paraId="61D2E096" w14:textId="77777777" w:rsidR="00FE1346" w:rsidRDefault="00FE1346" w:rsidP="00FE1346">
      <w:pPr>
        <w:spacing w:after="0" w:line="240" w:lineRule="auto"/>
        <w:rPr>
          <w:rFonts w:ascii="Arial" w:hAnsi="Arial" w:cs="Arial"/>
          <w:sz w:val="24"/>
          <w:szCs w:val="24"/>
          <w:lang w:val="en-US"/>
        </w:rPr>
      </w:pPr>
      <w:r>
        <w:rPr>
          <w:rFonts w:ascii="Arial" w:hAnsi="Arial" w:cs="Arial"/>
          <w:sz w:val="24"/>
          <w:szCs w:val="24"/>
          <w:lang w:val="en-US"/>
        </w:rPr>
        <w:t xml:space="preserve">Like any change, in the early days it takes time to introduce new processes and prepare. If you plan this change to become a regular part of your clinic delivery model from the start, you will </w:t>
      </w:r>
      <w:proofErr w:type="spellStart"/>
      <w:r>
        <w:rPr>
          <w:rFonts w:ascii="Arial" w:hAnsi="Arial" w:cs="Arial"/>
          <w:sz w:val="24"/>
          <w:szCs w:val="24"/>
          <w:lang w:val="en-US"/>
        </w:rPr>
        <w:t>realise</w:t>
      </w:r>
      <w:proofErr w:type="spellEnd"/>
      <w:r>
        <w:rPr>
          <w:rFonts w:ascii="Arial" w:hAnsi="Arial" w:cs="Arial"/>
          <w:sz w:val="24"/>
          <w:szCs w:val="24"/>
          <w:lang w:val="en-US"/>
        </w:rPr>
        <w:t xml:space="preserve"> the benefits described within 3 months. Once you see clinician time-savings and the positive impact on QOF, making this change will be saving time and improving quality and QOF payments.</w:t>
      </w:r>
    </w:p>
    <w:p w14:paraId="71FEC902" w14:textId="77777777" w:rsidR="00FE1346" w:rsidRPr="007D180A" w:rsidRDefault="00FE1346" w:rsidP="00FE1346">
      <w:pPr>
        <w:spacing w:after="0" w:line="240" w:lineRule="auto"/>
        <w:rPr>
          <w:rFonts w:ascii="Arial" w:hAnsi="Arial" w:cs="Arial"/>
          <w:sz w:val="24"/>
          <w:szCs w:val="24"/>
          <w:lang w:val="en-US"/>
        </w:rPr>
      </w:pPr>
    </w:p>
    <w:p w14:paraId="488E61B2" w14:textId="77777777" w:rsidR="00FE1346" w:rsidRPr="00AB1CC4" w:rsidRDefault="00FE1346" w:rsidP="00FE1346">
      <w:pPr>
        <w:ind w:right="-330"/>
        <w:rPr>
          <w:rFonts w:ascii="Arial" w:hAnsi="Arial" w:cs="Arial"/>
          <w:b/>
          <w:color w:val="92D050"/>
          <w:sz w:val="24"/>
          <w:szCs w:val="24"/>
        </w:rPr>
      </w:pPr>
      <w:r w:rsidRPr="00AB1CC4">
        <w:rPr>
          <w:rFonts w:ascii="Arial" w:hAnsi="Arial" w:cs="Arial"/>
          <w:b/>
          <w:color w:val="92D050"/>
          <w:sz w:val="24"/>
          <w:szCs w:val="24"/>
        </w:rPr>
        <w:t>Your programme support package</w:t>
      </w:r>
    </w:p>
    <w:p w14:paraId="74ECB105" w14:textId="50D75291" w:rsidR="00A47F1B" w:rsidRPr="00AD3E98" w:rsidRDefault="00FE1346" w:rsidP="00983A69">
      <w:pPr>
        <w:ind w:right="-330"/>
        <w:rPr>
          <w:rFonts w:ascii="Arial" w:hAnsi="Arial" w:cs="Arial"/>
          <w:sz w:val="24"/>
          <w:szCs w:val="24"/>
        </w:rPr>
      </w:pPr>
      <w:r>
        <w:rPr>
          <w:rFonts w:ascii="Arial" w:hAnsi="Arial" w:cs="Arial"/>
          <w:sz w:val="24"/>
          <w:szCs w:val="24"/>
        </w:rPr>
        <w:t xml:space="preserve"> </w:t>
      </w:r>
      <w:r w:rsidR="00E53458">
        <w:rPr>
          <w:rFonts w:ascii="Arial" w:hAnsi="Arial" w:cs="Arial"/>
          <w:sz w:val="24"/>
          <w:szCs w:val="24"/>
        </w:rPr>
        <w:t>We are considering providing t</w:t>
      </w:r>
      <w:r>
        <w:rPr>
          <w:rFonts w:ascii="Arial" w:hAnsi="Arial" w:cs="Arial"/>
          <w:sz w:val="24"/>
          <w:szCs w:val="24"/>
        </w:rPr>
        <w:t xml:space="preserve">he following support </w:t>
      </w:r>
      <w:r w:rsidR="00E53458">
        <w:rPr>
          <w:rFonts w:ascii="Arial" w:hAnsi="Arial" w:cs="Arial"/>
          <w:sz w:val="24"/>
          <w:szCs w:val="24"/>
        </w:rPr>
        <w:t xml:space="preserve">to </w:t>
      </w:r>
      <w:r>
        <w:rPr>
          <w:rFonts w:ascii="Arial" w:hAnsi="Arial" w:cs="Arial"/>
          <w:sz w:val="24"/>
          <w:szCs w:val="24"/>
        </w:rPr>
        <w:t>PCNs:</w:t>
      </w:r>
    </w:p>
    <w:tbl>
      <w:tblPr>
        <w:tblStyle w:val="TableGrid"/>
        <w:tblW w:w="10490" w:type="dxa"/>
        <w:tblInd w:w="-601" w:type="dxa"/>
        <w:tblLayout w:type="fixed"/>
        <w:tblLook w:val="04A0" w:firstRow="1" w:lastRow="0" w:firstColumn="1" w:lastColumn="0" w:noHBand="0" w:noVBand="1"/>
      </w:tblPr>
      <w:tblGrid>
        <w:gridCol w:w="1560"/>
        <w:gridCol w:w="8930"/>
      </w:tblGrid>
      <w:tr w:rsidR="00983A69" w:rsidRPr="00983A69" w14:paraId="36BC4B95" w14:textId="77777777" w:rsidTr="00C6381C">
        <w:tc>
          <w:tcPr>
            <w:tcW w:w="1560" w:type="dxa"/>
          </w:tcPr>
          <w:p w14:paraId="6418264A" w14:textId="5FA836FD" w:rsidR="00983A69" w:rsidRPr="00983A69" w:rsidRDefault="00983A69" w:rsidP="00983A69">
            <w:pPr>
              <w:widowControl w:val="0"/>
              <w:autoSpaceDE w:val="0"/>
              <w:autoSpaceDN w:val="0"/>
              <w:adjustRightInd w:val="0"/>
              <w:spacing w:after="240"/>
              <w:rPr>
                <w:rFonts w:ascii="Arial" w:hAnsi="Arial" w:cs="Arial"/>
                <w:b/>
                <w:sz w:val="24"/>
                <w:szCs w:val="24"/>
              </w:rPr>
            </w:pPr>
            <w:r w:rsidRPr="00983A69">
              <w:rPr>
                <w:rFonts w:ascii="Arial" w:hAnsi="Arial" w:cs="Arial"/>
                <w:b/>
                <w:sz w:val="24"/>
                <w:szCs w:val="24"/>
              </w:rPr>
              <w:t>Support</w:t>
            </w:r>
          </w:p>
        </w:tc>
        <w:tc>
          <w:tcPr>
            <w:tcW w:w="8930" w:type="dxa"/>
          </w:tcPr>
          <w:p w14:paraId="49BFFFDD" w14:textId="77777777" w:rsidR="00983A69" w:rsidRPr="00983A69" w:rsidRDefault="00983A69" w:rsidP="00983A69">
            <w:pPr>
              <w:widowControl w:val="0"/>
              <w:autoSpaceDE w:val="0"/>
              <w:autoSpaceDN w:val="0"/>
              <w:adjustRightInd w:val="0"/>
              <w:spacing w:after="240"/>
              <w:rPr>
                <w:rFonts w:ascii="Arial" w:hAnsi="Arial" w:cs="Arial"/>
                <w:b/>
                <w:sz w:val="24"/>
                <w:szCs w:val="24"/>
              </w:rPr>
            </w:pPr>
            <w:r w:rsidRPr="00983A69">
              <w:rPr>
                <w:rFonts w:ascii="Arial" w:hAnsi="Arial" w:cs="Arial"/>
                <w:b/>
                <w:sz w:val="24"/>
                <w:szCs w:val="24"/>
              </w:rPr>
              <w:t>Description</w:t>
            </w:r>
          </w:p>
        </w:tc>
      </w:tr>
      <w:tr w:rsidR="00983A69" w:rsidRPr="00983A69" w14:paraId="68986128" w14:textId="77777777" w:rsidTr="00C6381C">
        <w:trPr>
          <w:trHeight w:val="941"/>
        </w:trPr>
        <w:tc>
          <w:tcPr>
            <w:tcW w:w="1560" w:type="dxa"/>
          </w:tcPr>
          <w:p w14:paraId="471FB255" w14:textId="1431F7D7" w:rsidR="00983A69" w:rsidRPr="00983A69" w:rsidRDefault="00AD3E98" w:rsidP="00983A69">
            <w:pPr>
              <w:widowControl w:val="0"/>
              <w:autoSpaceDE w:val="0"/>
              <w:autoSpaceDN w:val="0"/>
              <w:adjustRightInd w:val="0"/>
              <w:spacing w:after="240"/>
              <w:rPr>
                <w:rFonts w:ascii="Arial" w:hAnsi="Arial" w:cs="Arial"/>
                <w:b/>
                <w:sz w:val="24"/>
                <w:szCs w:val="24"/>
              </w:rPr>
            </w:pPr>
            <w:r>
              <w:rPr>
                <w:rFonts w:ascii="Arial" w:hAnsi="Arial" w:cs="Arial"/>
                <w:b/>
                <w:sz w:val="24"/>
                <w:szCs w:val="24"/>
              </w:rPr>
              <w:t>Practice based intensive support for one pioneer practice</w:t>
            </w:r>
          </w:p>
        </w:tc>
        <w:tc>
          <w:tcPr>
            <w:tcW w:w="8930" w:type="dxa"/>
          </w:tcPr>
          <w:p w14:paraId="2AD469F2" w14:textId="6956E9B0" w:rsidR="00AD3E98" w:rsidRPr="00AD3E98" w:rsidRDefault="00AD3E98" w:rsidP="00AD3E98">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This </w:t>
            </w:r>
            <w:r w:rsidRPr="00AD3E98">
              <w:rPr>
                <w:rFonts w:ascii="Arial" w:hAnsi="Arial" w:cs="Arial"/>
                <w:sz w:val="24"/>
                <w:szCs w:val="24"/>
              </w:rPr>
              <w:t xml:space="preserve">intensive support programme will make it </w:t>
            </w:r>
            <w:proofErr w:type="gramStart"/>
            <w:r w:rsidRPr="00AD3E98">
              <w:rPr>
                <w:rFonts w:ascii="Arial" w:hAnsi="Arial" w:cs="Arial"/>
                <w:sz w:val="24"/>
                <w:szCs w:val="24"/>
              </w:rPr>
              <w:t>really easy</w:t>
            </w:r>
            <w:proofErr w:type="gramEnd"/>
            <w:r w:rsidRPr="00AD3E98">
              <w:rPr>
                <w:rFonts w:ascii="Arial" w:hAnsi="Arial" w:cs="Arial"/>
                <w:sz w:val="24"/>
                <w:szCs w:val="24"/>
              </w:rPr>
              <w:t xml:space="preserve"> for your pioneer practice to get going with VGCs. The package will be flexible and respond to your team’s need and includes:</w:t>
            </w:r>
          </w:p>
          <w:p w14:paraId="31F127A1" w14:textId="0D2A5629" w:rsidR="00AD3E98" w:rsidRPr="00AD3E98" w:rsidRDefault="00AD3E98" w:rsidP="00AD3E98">
            <w:pPr>
              <w:pStyle w:val="ListParagraph"/>
              <w:widowControl w:val="0"/>
              <w:numPr>
                <w:ilvl w:val="0"/>
                <w:numId w:val="22"/>
              </w:numPr>
              <w:autoSpaceDE w:val="0"/>
              <w:autoSpaceDN w:val="0"/>
              <w:adjustRightInd w:val="0"/>
              <w:spacing w:after="240"/>
              <w:rPr>
                <w:rFonts w:ascii="Arial" w:hAnsi="Arial" w:cs="Arial"/>
                <w:sz w:val="24"/>
                <w:szCs w:val="24"/>
              </w:rPr>
            </w:pPr>
            <w:r>
              <w:rPr>
                <w:rFonts w:ascii="Arial" w:hAnsi="Arial" w:cs="Arial"/>
                <w:sz w:val="24"/>
                <w:szCs w:val="24"/>
              </w:rPr>
              <w:t>A practice level p</w:t>
            </w:r>
            <w:r w:rsidRPr="00AD3E98">
              <w:rPr>
                <w:rFonts w:ascii="Arial" w:hAnsi="Arial" w:cs="Arial"/>
                <w:sz w:val="24"/>
                <w:szCs w:val="24"/>
              </w:rPr>
              <w:t>lanning and co-design workshop (</w:t>
            </w:r>
            <w:proofErr w:type="gramStart"/>
            <w:r w:rsidRPr="00AD3E98">
              <w:rPr>
                <w:rFonts w:ascii="Arial" w:hAnsi="Arial" w:cs="Arial"/>
                <w:sz w:val="24"/>
                <w:szCs w:val="24"/>
              </w:rPr>
              <w:t>1 hour</w:t>
            </w:r>
            <w:proofErr w:type="gramEnd"/>
            <w:r>
              <w:rPr>
                <w:rFonts w:ascii="Arial" w:hAnsi="Arial" w:cs="Arial"/>
                <w:sz w:val="24"/>
                <w:szCs w:val="24"/>
              </w:rPr>
              <w:t xml:space="preserve"> virtual session</w:t>
            </w:r>
            <w:r w:rsidRPr="00AD3E98">
              <w:rPr>
                <w:rFonts w:ascii="Arial" w:hAnsi="Arial" w:cs="Arial"/>
                <w:sz w:val="24"/>
                <w:szCs w:val="24"/>
              </w:rPr>
              <w:t>)</w:t>
            </w:r>
          </w:p>
          <w:p w14:paraId="0B8A269B" w14:textId="77777777" w:rsidR="00AD3E98" w:rsidRPr="00AD3E98" w:rsidRDefault="00AD3E98" w:rsidP="00AD3E98">
            <w:pPr>
              <w:pStyle w:val="ListParagraph"/>
              <w:widowControl w:val="0"/>
              <w:numPr>
                <w:ilvl w:val="0"/>
                <w:numId w:val="22"/>
              </w:numPr>
              <w:autoSpaceDE w:val="0"/>
              <w:autoSpaceDN w:val="0"/>
              <w:adjustRightInd w:val="0"/>
              <w:spacing w:after="240"/>
              <w:rPr>
                <w:rFonts w:ascii="Arial" w:hAnsi="Arial" w:cs="Arial"/>
                <w:sz w:val="24"/>
                <w:szCs w:val="24"/>
              </w:rPr>
            </w:pPr>
            <w:r w:rsidRPr="00AD3E98">
              <w:rPr>
                <w:rFonts w:ascii="Arial" w:hAnsi="Arial" w:cs="Arial"/>
                <w:sz w:val="24"/>
                <w:szCs w:val="24"/>
              </w:rPr>
              <w:t>Facilitation of 3 VGCs (3 x 2.5 hours of support on three separate days)</w:t>
            </w:r>
          </w:p>
          <w:p w14:paraId="293CBD9D" w14:textId="2C3814A6" w:rsidR="00AD3E98" w:rsidRDefault="00AD3E98" w:rsidP="00AD3E98">
            <w:pPr>
              <w:pStyle w:val="ListParagraph"/>
              <w:widowControl w:val="0"/>
              <w:numPr>
                <w:ilvl w:val="0"/>
                <w:numId w:val="22"/>
              </w:numPr>
              <w:autoSpaceDE w:val="0"/>
              <w:autoSpaceDN w:val="0"/>
              <w:adjustRightInd w:val="0"/>
              <w:spacing w:after="240"/>
              <w:rPr>
                <w:rFonts w:ascii="Arial" w:hAnsi="Arial" w:cs="Arial"/>
                <w:sz w:val="24"/>
                <w:szCs w:val="24"/>
              </w:rPr>
            </w:pPr>
            <w:r w:rsidRPr="00AD3E98">
              <w:rPr>
                <w:rFonts w:ascii="Arial" w:hAnsi="Arial" w:cs="Arial"/>
                <w:sz w:val="24"/>
                <w:szCs w:val="24"/>
              </w:rPr>
              <w:t>Handover and celebration session (</w:t>
            </w:r>
            <w:proofErr w:type="gramStart"/>
            <w:r w:rsidRPr="00AD3E98">
              <w:rPr>
                <w:rFonts w:ascii="Arial" w:hAnsi="Arial" w:cs="Arial"/>
                <w:sz w:val="24"/>
                <w:szCs w:val="24"/>
              </w:rPr>
              <w:t>1 hour</w:t>
            </w:r>
            <w:proofErr w:type="gramEnd"/>
            <w:r>
              <w:rPr>
                <w:rFonts w:ascii="Arial" w:hAnsi="Arial" w:cs="Arial"/>
                <w:sz w:val="24"/>
                <w:szCs w:val="24"/>
              </w:rPr>
              <w:t xml:space="preserve"> virtual session</w:t>
            </w:r>
            <w:r w:rsidRPr="00AD3E98">
              <w:rPr>
                <w:rFonts w:ascii="Arial" w:hAnsi="Arial" w:cs="Arial"/>
                <w:sz w:val="24"/>
                <w:szCs w:val="24"/>
              </w:rPr>
              <w:t>)</w:t>
            </w:r>
          </w:p>
          <w:p w14:paraId="7EEF6A35" w14:textId="77777777" w:rsidR="00983A69" w:rsidRDefault="00AD3E98" w:rsidP="00983A69">
            <w:pPr>
              <w:pStyle w:val="ListParagraph"/>
              <w:widowControl w:val="0"/>
              <w:numPr>
                <w:ilvl w:val="0"/>
                <w:numId w:val="22"/>
              </w:numPr>
              <w:autoSpaceDE w:val="0"/>
              <w:autoSpaceDN w:val="0"/>
              <w:adjustRightInd w:val="0"/>
              <w:spacing w:after="240"/>
              <w:rPr>
                <w:rFonts w:ascii="Arial" w:hAnsi="Arial" w:cs="Arial"/>
                <w:sz w:val="24"/>
                <w:szCs w:val="24"/>
              </w:rPr>
            </w:pPr>
            <w:r>
              <w:rPr>
                <w:rFonts w:ascii="Arial" w:hAnsi="Arial" w:cs="Arial"/>
                <w:sz w:val="24"/>
                <w:szCs w:val="24"/>
              </w:rPr>
              <w:t>Co-creating a case study that summarises your VGC work so you can easily share it with your peers</w:t>
            </w:r>
          </w:p>
          <w:p w14:paraId="2B010D41" w14:textId="55616042" w:rsidR="00AD3E98" w:rsidRPr="00AD3E98" w:rsidRDefault="00AD3E98" w:rsidP="00AD3E98">
            <w:pPr>
              <w:widowControl w:val="0"/>
              <w:autoSpaceDE w:val="0"/>
              <w:autoSpaceDN w:val="0"/>
              <w:adjustRightInd w:val="0"/>
              <w:spacing w:after="240"/>
              <w:rPr>
                <w:rFonts w:ascii="Arial" w:hAnsi="Arial" w:cs="Arial"/>
                <w:b/>
                <w:color w:val="0000FF"/>
                <w:sz w:val="24"/>
                <w:szCs w:val="24"/>
              </w:rPr>
            </w:pPr>
            <w:r w:rsidRPr="00AD3E98">
              <w:rPr>
                <w:rFonts w:ascii="Arial" w:hAnsi="Arial" w:cs="Arial"/>
                <w:b/>
                <w:color w:val="0000FF"/>
                <w:sz w:val="24"/>
                <w:szCs w:val="24"/>
              </w:rPr>
              <w:t>As soon as you register</w:t>
            </w:r>
            <w:r w:rsidR="00D34E4A">
              <w:rPr>
                <w:rFonts w:ascii="Arial" w:hAnsi="Arial" w:cs="Arial"/>
                <w:b/>
                <w:color w:val="0000FF"/>
                <w:sz w:val="24"/>
                <w:szCs w:val="24"/>
              </w:rPr>
              <w:t xml:space="preserve"> for the programme, we</w:t>
            </w:r>
            <w:r w:rsidRPr="00AD3E98">
              <w:rPr>
                <w:rFonts w:ascii="Arial" w:hAnsi="Arial" w:cs="Arial"/>
                <w:b/>
                <w:color w:val="0000FF"/>
                <w:sz w:val="24"/>
                <w:szCs w:val="24"/>
              </w:rPr>
              <w:t xml:space="preserve"> connect y</w:t>
            </w:r>
            <w:r w:rsidR="00D34E4A">
              <w:rPr>
                <w:rFonts w:ascii="Arial" w:hAnsi="Arial" w:cs="Arial"/>
                <w:b/>
                <w:color w:val="0000FF"/>
                <w:sz w:val="24"/>
                <w:szCs w:val="24"/>
              </w:rPr>
              <w:t xml:space="preserve">ou with your VGC coach who </w:t>
            </w:r>
            <w:r>
              <w:rPr>
                <w:rFonts w:ascii="Arial" w:hAnsi="Arial" w:cs="Arial"/>
                <w:b/>
                <w:color w:val="0000FF"/>
                <w:sz w:val="24"/>
                <w:szCs w:val="24"/>
              </w:rPr>
              <w:t>deliver</w:t>
            </w:r>
            <w:r w:rsidR="00D34E4A">
              <w:rPr>
                <w:rFonts w:ascii="Arial" w:hAnsi="Arial" w:cs="Arial"/>
                <w:b/>
                <w:color w:val="0000FF"/>
                <w:sz w:val="24"/>
                <w:szCs w:val="24"/>
              </w:rPr>
              <w:t>s the intensive support</w:t>
            </w:r>
            <w:r>
              <w:rPr>
                <w:rFonts w:ascii="Arial" w:hAnsi="Arial" w:cs="Arial"/>
                <w:b/>
                <w:color w:val="0000FF"/>
                <w:sz w:val="24"/>
                <w:szCs w:val="24"/>
              </w:rPr>
              <w:t xml:space="preserve"> package</w:t>
            </w:r>
          </w:p>
        </w:tc>
      </w:tr>
      <w:tr w:rsidR="00983A69" w:rsidRPr="00983A69" w14:paraId="0E9DABAC" w14:textId="77777777" w:rsidTr="00C6381C">
        <w:tc>
          <w:tcPr>
            <w:tcW w:w="1560" w:type="dxa"/>
          </w:tcPr>
          <w:p w14:paraId="38D41DFD" w14:textId="57035EE1" w:rsidR="00983A69" w:rsidRPr="00983A69" w:rsidRDefault="00983A69" w:rsidP="00D34E4A">
            <w:pPr>
              <w:widowControl w:val="0"/>
              <w:autoSpaceDE w:val="0"/>
              <w:autoSpaceDN w:val="0"/>
              <w:adjustRightInd w:val="0"/>
              <w:spacing w:after="240"/>
              <w:rPr>
                <w:rFonts w:ascii="Arial" w:hAnsi="Arial" w:cs="Arial"/>
                <w:b/>
                <w:sz w:val="24"/>
                <w:szCs w:val="24"/>
              </w:rPr>
            </w:pPr>
            <w:r w:rsidRPr="00983A69">
              <w:rPr>
                <w:rFonts w:ascii="Arial" w:hAnsi="Arial" w:cs="Arial"/>
                <w:b/>
                <w:sz w:val="24"/>
                <w:szCs w:val="24"/>
              </w:rPr>
              <w:t>VGC learning sessions</w:t>
            </w:r>
            <w:r w:rsidR="00D34E4A">
              <w:rPr>
                <w:rFonts w:ascii="Arial" w:hAnsi="Arial" w:cs="Arial"/>
                <w:b/>
                <w:sz w:val="24"/>
                <w:szCs w:val="24"/>
              </w:rPr>
              <w:t xml:space="preserve"> </w:t>
            </w:r>
          </w:p>
        </w:tc>
        <w:tc>
          <w:tcPr>
            <w:tcW w:w="8930" w:type="dxa"/>
          </w:tcPr>
          <w:p w14:paraId="5EA308E3" w14:textId="5B1916A5" w:rsidR="00983A69" w:rsidRPr="00983A69" w:rsidRDefault="00983A69" w:rsidP="00983A69">
            <w:pPr>
              <w:widowControl w:val="0"/>
              <w:autoSpaceDE w:val="0"/>
              <w:autoSpaceDN w:val="0"/>
              <w:adjustRightInd w:val="0"/>
              <w:spacing w:after="240"/>
              <w:rPr>
                <w:rFonts w:ascii="Arial" w:hAnsi="Arial" w:cs="Arial"/>
                <w:sz w:val="24"/>
                <w:szCs w:val="24"/>
              </w:rPr>
            </w:pPr>
            <w:r w:rsidRPr="00983A69">
              <w:rPr>
                <w:rFonts w:ascii="Arial" w:hAnsi="Arial" w:cs="Arial"/>
                <w:sz w:val="24"/>
                <w:szCs w:val="24"/>
              </w:rPr>
              <w:t xml:space="preserve">A highly interactive </w:t>
            </w:r>
            <w:proofErr w:type="gramStart"/>
            <w:r w:rsidRPr="00983A69">
              <w:rPr>
                <w:rFonts w:ascii="Arial" w:hAnsi="Arial" w:cs="Arial"/>
                <w:sz w:val="24"/>
                <w:szCs w:val="24"/>
              </w:rPr>
              <w:t>2.5 hour</w:t>
            </w:r>
            <w:proofErr w:type="gramEnd"/>
            <w:r w:rsidRPr="00983A69">
              <w:rPr>
                <w:rFonts w:ascii="Arial" w:hAnsi="Arial" w:cs="Arial"/>
                <w:sz w:val="24"/>
                <w:szCs w:val="24"/>
              </w:rPr>
              <w:t xml:space="preserve"> action learning session for those who will</w:t>
            </w:r>
            <w:r>
              <w:rPr>
                <w:rFonts w:ascii="Arial" w:hAnsi="Arial" w:cs="Arial"/>
                <w:sz w:val="24"/>
                <w:szCs w:val="24"/>
              </w:rPr>
              <w:t xml:space="preserve"> be delivering VGCs (clinicians</w:t>
            </w:r>
            <w:r w:rsidRPr="00983A69">
              <w:rPr>
                <w:rFonts w:ascii="Arial" w:hAnsi="Arial" w:cs="Arial"/>
                <w:sz w:val="24"/>
                <w:szCs w:val="24"/>
              </w:rPr>
              <w:t>, facilitators and clinic co-ordinators)</w:t>
            </w:r>
          </w:p>
          <w:p w14:paraId="17B3B9B2" w14:textId="7BEEE291" w:rsidR="00983A69" w:rsidRPr="00983A69" w:rsidRDefault="00983A69" w:rsidP="00983A69">
            <w:pPr>
              <w:widowControl w:val="0"/>
              <w:autoSpaceDE w:val="0"/>
              <w:autoSpaceDN w:val="0"/>
              <w:adjustRightInd w:val="0"/>
              <w:spacing w:after="240"/>
              <w:rPr>
                <w:rFonts w:ascii="Arial" w:hAnsi="Arial" w:cs="Arial"/>
                <w:sz w:val="24"/>
                <w:szCs w:val="24"/>
              </w:rPr>
            </w:pPr>
            <w:r w:rsidRPr="00983A69">
              <w:rPr>
                <w:rFonts w:ascii="Arial" w:hAnsi="Arial" w:cs="Arial"/>
                <w:sz w:val="24"/>
                <w:szCs w:val="24"/>
              </w:rPr>
              <w:t>Delivered as an interactive webinar</w:t>
            </w:r>
            <w:r>
              <w:rPr>
                <w:rFonts w:ascii="Arial" w:hAnsi="Arial" w:cs="Arial"/>
                <w:sz w:val="24"/>
                <w:szCs w:val="24"/>
              </w:rPr>
              <w:t>, every PCN has</w:t>
            </w:r>
            <w:r w:rsidRPr="00983A69">
              <w:rPr>
                <w:rFonts w:ascii="Arial" w:hAnsi="Arial" w:cs="Arial"/>
                <w:sz w:val="24"/>
                <w:szCs w:val="24"/>
              </w:rPr>
              <w:t xml:space="preserve"> a </w:t>
            </w:r>
            <w:r w:rsidR="00D34E4A">
              <w:rPr>
                <w:rFonts w:ascii="Arial" w:hAnsi="Arial" w:cs="Arial"/>
                <w:sz w:val="24"/>
                <w:szCs w:val="24"/>
              </w:rPr>
              <w:t xml:space="preserve">specified number of </w:t>
            </w:r>
            <w:r w:rsidRPr="00983A69">
              <w:rPr>
                <w:rFonts w:ascii="Arial" w:hAnsi="Arial" w:cs="Arial"/>
                <w:sz w:val="24"/>
                <w:szCs w:val="24"/>
              </w:rPr>
              <w:t>training places</w:t>
            </w:r>
          </w:p>
          <w:p w14:paraId="5C542475" w14:textId="77777777" w:rsidR="00983A69" w:rsidRDefault="00983A69" w:rsidP="00983A69">
            <w:pPr>
              <w:widowControl w:val="0"/>
              <w:autoSpaceDE w:val="0"/>
              <w:autoSpaceDN w:val="0"/>
              <w:adjustRightInd w:val="0"/>
              <w:spacing w:after="240"/>
              <w:rPr>
                <w:rFonts w:ascii="Arial" w:hAnsi="Arial" w:cs="Arial"/>
                <w:sz w:val="24"/>
                <w:szCs w:val="24"/>
              </w:rPr>
            </w:pPr>
            <w:r>
              <w:rPr>
                <w:rFonts w:ascii="Arial" w:hAnsi="Arial" w:cs="Arial"/>
                <w:sz w:val="24"/>
                <w:szCs w:val="24"/>
              </w:rPr>
              <w:lastRenderedPageBreak/>
              <w:t>There is a national schedule, with training sessions at</w:t>
            </w:r>
            <w:r w:rsidRPr="00983A69">
              <w:rPr>
                <w:rFonts w:ascii="Arial" w:hAnsi="Arial" w:cs="Arial"/>
                <w:sz w:val="24"/>
                <w:szCs w:val="24"/>
              </w:rPr>
              <w:t xml:space="preserve"> twice a month.  </w:t>
            </w:r>
          </w:p>
          <w:p w14:paraId="64E79031" w14:textId="5C3B4B12" w:rsidR="00983A69" w:rsidRPr="00983A69" w:rsidRDefault="00983A69" w:rsidP="00983A69">
            <w:pPr>
              <w:widowControl w:val="0"/>
              <w:autoSpaceDE w:val="0"/>
              <w:autoSpaceDN w:val="0"/>
              <w:adjustRightInd w:val="0"/>
              <w:spacing w:after="240"/>
              <w:rPr>
                <w:rFonts w:ascii="Arial" w:hAnsi="Arial" w:cs="Arial"/>
                <w:sz w:val="24"/>
                <w:szCs w:val="24"/>
              </w:rPr>
            </w:pPr>
            <w:r>
              <w:rPr>
                <w:rFonts w:ascii="Arial" w:hAnsi="Arial" w:cs="Arial"/>
                <w:sz w:val="24"/>
                <w:szCs w:val="24"/>
              </w:rPr>
              <w:t xml:space="preserve">Your team will be able to access training over </w:t>
            </w:r>
            <w:r w:rsidRPr="00983A69">
              <w:rPr>
                <w:rFonts w:ascii="Arial" w:hAnsi="Arial" w:cs="Arial"/>
                <w:sz w:val="24"/>
                <w:szCs w:val="24"/>
              </w:rPr>
              <w:t>at least 12 months through a vouche</w:t>
            </w:r>
            <w:r>
              <w:rPr>
                <w:rFonts w:ascii="Arial" w:hAnsi="Arial" w:cs="Arial"/>
                <w:sz w:val="24"/>
                <w:szCs w:val="24"/>
              </w:rPr>
              <w:t>r system. In this way, train up your VGC</w:t>
            </w:r>
            <w:r w:rsidRPr="00983A69">
              <w:rPr>
                <w:rFonts w:ascii="Arial" w:hAnsi="Arial" w:cs="Arial"/>
                <w:sz w:val="24"/>
                <w:szCs w:val="24"/>
              </w:rPr>
              <w:t xml:space="preserve"> team over several week</w:t>
            </w:r>
            <w:r>
              <w:rPr>
                <w:rFonts w:ascii="Arial" w:hAnsi="Arial" w:cs="Arial"/>
                <w:sz w:val="24"/>
                <w:szCs w:val="24"/>
              </w:rPr>
              <w:t xml:space="preserve">s, which will make it easier </w:t>
            </w:r>
            <w:r w:rsidRPr="00983A69">
              <w:rPr>
                <w:rFonts w:ascii="Arial" w:hAnsi="Arial" w:cs="Arial"/>
                <w:sz w:val="24"/>
                <w:szCs w:val="24"/>
              </w:rPr>
              <w:t>to release staff</w:t>
            </w:r>
          </w:p>
          <w:p w14:paraId="0F0F4990" w14:textId="77777777" w:rsidR="00BA6430" w:rsidRDefault="00983A69" w:rsidP="00BA6430">
            <w:pPr>
              <w:widowControl w:val="0"/>
              <w:autoSpaceDE w:val="0"/>
              <w:autoSpaceDN w:val="0"/>
              <w:adjustRightInd w:val="0"/>
              <w:spacing w:after="240"/>
              <w:rPr>
                <w:rFonts w:ascii="Arial" w:hAnsi="Arial" w:cs="Arial"/>
                <w:sz w:val="24"/>
                <w:szCs w:val="24"/>
              </w:rPr>
            </w:pPr>
            <w:r w:rsidRPr="00983A69">
              <w:rPr>
                <w:rFonts w:ascii="Arial" w:hAnsi="Arial" w:cs="Arial"/>
                <w:sz w:val="24"/>
                <w:szCs w:val="24"/>
              </w:rPr>
              <w:t>At least 4 people</w:t>
            </w:r>
            <w:r w:rsidR="00BA6430">
              <w:rPr>
                <w:rFonts w:ascii="Arial" w:hAnsi="Arial" w:cs="Arial"/>
                <w:sz w:val="24"/>
                <w:szCs w:val="24"/>
              </w:rPr>
              <w:t xml:space="preserve"> </w:t>
            </w:r>
            <w:r w:rsidR="00BA6430" w:rsidRPr="00983A69">
              <w:rPr>
                <w:rFonts w:ascii="Arial" w:hAnsi="Arial" w:cs="Arial"/>
                <w:sz w:val="24"/>
                <w:szCs w:val="24"/>
              </w:rPr>
              <w:t xml:space="preserve">in the pioneer practice </w:t>
            </w:r>
            <w:r w:rsidR="00BA6430">
              <w:rPr>
                <w:rFonts w:ascii="Arial" w:hAnsi="Arial" w:cs="Arial"/>
                <w:sz w:val="24"/>
                <w:szCs w:val="24"/>
              </w:rPr>
              <w:t>need to be trained prior to your</w:t>
            </w:r>
            <w:r w:rsidRPr="00983A69">
              <w:rPr>
                <w:rFonts w:ascii="Arial" w:hAnsi="Arial" w:cs="Arial"/>
                <w:sz w:val="24"/>
                <w:szCs w:val="24"/>
              </w:rPr>
              <w:t xml:space="preserve"> first VGC being scheduled to assure success. </w:t>
            </w:r>
          </w:p>
          <w:p w14:paraId="2293A04A" w14:textId="5CB7EE67" w:rsidR="00BA6430" w:rsidRPr="00D34E4A" w:rsidRDefault="00983A69" w:rsidP="00D34E4A">
            <w:pPr>
              <w:widowControl w:val="0"/>
              <w:autoSpaceDE w:val="0"/>
              <w:autoSpaceDN w:val="0"/>
              <w:adjustRightInd w:val="0"/>
              <w:spacing w:after="240"/>
              <w:rPr>
                <w:rFonts w:ascii="Arial" w:hAnsi="Arial" w:cs="Arial"/>
                <w:sz w:val="24"/>
                <w:szCs w:val="24"/>
              </w:rPr>
            </w:pPr>
            <w:r w:rsidRPr="00983A69">
              <w:rPr>
                <w:rFonts w:ascii="Arial" w:hAnsi="Arial" w:cs="Arial"/>
                <w:sz w:val="24"/>
                <w:szCs w:val="24"/>
              </w:rPr>
              <w:t>The</w:t>
            </w:r>
            <w:r w:rsidR="00D34E4A">
              <w:rPr>
                <w:rFonts w:ascii="Arial" w:hAnsi="Arial" w:cs="Arial"/>
                <w:sz w:val="24"/>
                <w:szCs w:val="24"/>
              </w:rPr>
              <w:t xml:space="preserve"> remaining </w:t>
            </w:r>
            <w:r w:rsidRPr="00983A69">
              <w:rPr>
                <w:rFonts w:ascii="Arial" w:hAnsi="Arial" w:cs="Arial"/>
                <w:sz w:val="24"/>
                <w:szCs w:val="24"/>
              </w:rPr>
              <w:t>places can be us</w:t>
            </w:r>
            <w:r w:rsidR="00BA6430">
              <w:rPr>
                <w:rFonts w:ascii="Arial" w:hAnsi="Arial" w:cs="Arial"/>
                <w:sz w:val="24"/>
                <w:szCs w:val="24"/>
              </w:rPr>
              <w:t>ed within this practice or to support PCN workforce</w:t>
            </w:r>
            <w:r w:rsidRPr="00983A69">
              <w:rPr>
                <w:rFonts w:ascii="Arial" w:hAnsi="Arial" w:cs="Arial"/>
                <w:sz w:val="24"/>
                <w:szCs w:val="24"/>
              </w:rPr>
              <w:t xml:space="preserve"> development </w:t>
            </w:r>
            <w:proofErr w:type="gramStart"/>
            <w:r w:rsidRPr="00983A69">
              <w:rPr>
                <w:rFonts w:ascii="Arial" w:hAnsi="Arial" w:cs="Arial"/>
                <w:sz w:val="24"/>
                <w:szCs w:val="24"/>
              </w:rPr>
              <w:t>e.g.</w:t>
            </w:r>
            <w:proofErr w:type="gramEnd"/>
            <w:r w:rsidRPr="00983A69">
              <w:rPr>
                <w:rFonts w:ascii="Arial" w:hAnsi="Arial" w:cs="Arial"/>
                <w:sz w:val="24"/>
                <w:szCs w:val="24"/>
              </w:rPr>
              <w:t xml:space="preserve"> PCN clinical pharmacist, social prescriber</w:t>
            </w:r>
            <w:r w:rsidR="00BA6430">
              <w:rPr>
                <w:rFonts w:ascii="Arial" w:hAnsi="Arial" w:cs="Arial"/>
                <w:sz w:val="24"/>
                <w:szCs w:val="24"/>
              </w:rPr>
              <w:t>s</w:t>
            </w:r>
            <w:r w:rsidRPr="00983A69">
              <w:rPr>
                <w:rFonts w:ascii="Arial" w:hAnsi="Arial" w:cs="Arial"/>
                <w:sz w:val="24"/>
                <w:szCs w:val="24"/>
              </w:rPr>
              <w:t>, care co-ordinator</w:t>
            </w:r>
            <w:r w:rsidR="00BA6430">
              <w:rPr>
                <w:rFonts w:ascii="Arial" w:hAnsi="Arial" w:cs="Arial"/>
                <w:sz w:val="24"/>
                <w:szCs w:val="24"/>
              </w:rPr>
              <w:t>s</w:t>
            </w:r>
            <w:r w:rsidRPr="00983A69">
              <w:rPr>
                <w:rFonts w:ascii="Arial" w:hAnsi="Arial" w:cs="Arial"/>
                <w:sz w:val="24"/>
                <w:szCs w:val="24"/>
              </w:rPr>
              <w:t>, health and wellbeing coach</w:t>
            </w:r>
            <w:r w:rsidR="00BA6430">
              <w:rPr>
                <w:rFonts w:ascii="Arial" w:hAnsi="Arial" w:cs="Arial"/>
                <w:sz w:val="24"/>
                <w:szCs w:val="24"/>
              </w:rPr>
              <w:t>es, physicians’ associate, first contact physiotherapists</w:t>
            </w:r>
            <w:r w:rsidRPr="00983A69">
              <w:rPr>
                <w:rFonts w:ascii="Arial" w:hAnsi="Arial" w:cs="Arial"/>
                <w:sz w:val="24"/>
                <w:szCs w:val="24"/>
              </w:rPr>
              <w:t xml:space="preserve">. New to practice </w:t>
            </w:r>
            <w:r w:rsidR="00BA6430">
              <w:rPr>
                <w:rFonts w:ascii="Arial" w:hAnsi="Arial" w:cs="Arial"/>
                <w:sz w:val="24"/>
                <w:szCs w:val="24"/>
              </w:rPr>
              <w:t xml:space="preserve">GP </w:t>
            </w:r>
            <w:r w:rsidRPr="00983A69">
              <w:rPr>
                <w:rFonts w:ascii="Arial" w:hAnsi="Arial" w:cs="Arial"/>
                <w:sz w:val="24"/>
                <w:szCs w:val="24"/>
              </w:rPr>
              <w:t xml:space="preserve">fellows can also be trained via this quota. </w:t>
            </w:r>
          </w:p>
        </w:tc>
      </w:tr>
      <w:tr w:rsidR="00BA6430" w:rsidRPr="00983A69" w14:paraId="3E5EC3D0" w14:textId="77777777" w:rsidTr="00C6381C">
        <w:tc>
          <w:tcPr>
            <w:tcW w:w="1560" w:type="dxa"/>
          </w:tcPr>
          <w:p w14:paraId="4DF58E9A" w14:textId="5405C9EF" w:rsidR="00BA6430" w:rsidRPr="00983A69" w:rsidRDefault="00BA6430" w:rsidP="00983A69">
            <w:pPr>
              <w:widowControl w:val="0"/>
              <w:autoSpaceDE w:val="0"/>
              <w:autoSpaceDN w:val="0"/>
              <w:adjustRightInd w:val="0"/>
              <w:spacing w:after="240"/>
              <w:rPr>
                <w:rFonts w:ascii="Arial" w:hAnsi="Arial" w:cs="Arial"/>
                <w:b/>
                <w:sz w:val="24"/>
                <w:szCs w:val="24"/>
              </w:rPr>
            </w:pPr>
            <w:r>
              <w:rPr>
                <w:rFonts w:ascii="Arial" w:hAnsi="Arial" w:cs="Arial"/>
                <w:b/>
                <w:sz w:val="24"/>
                <w:szCs w:val="24"/>
              </w:rPr>
              <w:lastRenderedPageBreak/>
              <w:t>Webinars to share best practice</w:t>
            </w:r>
          </w:p>
        </w:tc>
        <w:tc>
          <w:tcPr>
            <w:tcW w:w="8930" w:type="dxa"/>
          </w:tcPr>
          <w:p w14:paraId="7D5057E2" w14:textId="77777777" w:rsidR="00BA6430" w:rsidRDefault="00BA6430" w:rsidP="00983A69">
            <w:pPr>
              <w:widowControl w:val="0"/>
              <w:autoSpaceDE w:val="0"/>
              <w:autoSpaceDN w:val="0"/>
              <w:adjustRightInd w:val="0"/>
              <w:spacing w:after="240"/>
              <w:rPr>
                <w:rFonts w:ascii="Arial" w:hAnsi="Arial" w:cs="Arial"/>
                <w:sz w:val="24"/>
                <w:szCs w:val="24"/>
              </w:rPr>
            </w:pPr>
            <w:r>
              <w:rPr>
                <w:rFonts w:ascii="Arial" w:hAnsi="Arial" w:cs="Arial"/>
                <w:sz w:val="24"/>
                <w:szCs w:val="24"/>
              </w:rPr>
              <w:t>Every month there will be a webinar showcasing best practice in VGC, which are open to everyone in the PCN</w:t>
            </w:r>
          </w:p>
          <w:p w14:paraId="606C8608" w14:textId="7D20CAB5" w:rsidR="00BA6430" w:rsidRPr="00BA6430" w:rsidRDefault="00BA6430" w:rsidP="00983A69">
            <w:pPr>
              <w:widowControl w:val="0"/>
              <w:autoSpaceDE w:val="0"/>
              <w:autoSpaceDN w:val="0"/>
              <w:adjustRightInd w:val="0"/>
              <w:spacing w:after="240"/>
              <w:rPr>
                <w:rFonts w:ascii="Arial" w:hAnsi="Arial" w:cs="Arial"/>
                <w:b/>
                <w:color w:val="0000FF"/>
                <w:sz w:val="24"/>
                <w:szCs w:val="24"/>
              </w:rPr>
            </w:pPr>
            <w:r w:rsidRPr="00BA6430">
              <w:rPr>
                <w:rFonts w:ascii="Arial" w:hAnsi="Arial" w:cs="Arial"/>
                <w:b/>
                <w:color w:val="0000FF"/>
                <w:sz w:val="24"/>
                <w:szCs w:val="24"/>
              </w:rPr>
              <w:t xml:space="preserve">Book webinars at: </w:t>
            </w:r>
            <w:hyperlink r:id="rId9" w:history="1">
              <w:r w:rsidRPr="002674AF">
                <w:rPr>
                  <w:rStyle w:val="Hyperlink"/>
                  <w:rFonts w:ascii="Arial" w:hAnsi="Arial" w:cs="Arial"/>
                  <w:b/>
                  <w:sz w:val="24"/>
                  <w:szCs w:val="24"/>
                </w:rPr>
                <w:t>www.redmoorelc.co.uk</w:t>
              </w:r>
            </w:hyperlink>
          </w:p>
        </w:tc>
      </w:tr>
    </w:tbl>
    <w:p w14:paraId="46132A2C" w14:textId="77777777" w:rsidR="00AD3E98" w:rsidRDefault="00AD3E98" w:rsidP="00BA6430">
      <w:pPr>
        <w:ind w:right="-330"/>
        <w:rPr>
          <w:rFonts w:ascii="Arial" w:hAnsi="Arial" w:cs="Arial"/>
          <w:b/>
          <w:color w:val="0000FF"/>
          <w:sz w:val="24"/>
          <w:szCs w:val="24"/>
        </w:rPr>
      </w:pPr>
    </w:p>
    <w:p w14:paraId="6E0D8FBE" w14:textId="28CB2C88" w:rsidR="00BA6430" w:rsidRPr="00AB1CC4" w:rsidRDefault="00BD3F32" w:rsidP="00BA6430">
      <w:pPr>
        <w:ind w:right="-330"/>
        <w:rPr>
          <w:rFonts w:ascii="Arial" w:hAnsi="Arial" w:cs="Arial"/>
          <w:b/>
          <w:color w:val="92D050"/>
          <w:sz w:val="24"/>
          <w:szCs w:val="24"/>
        </w:rPr>
      </w:pPr>
      <w:r w:rsidRPr="00AB1CC4">
        <w:rPr>
          <w:rFonts w:ascii="Arial" w:hAnsi="Arial" w:cs="Arial"/>
          <w:b/>
          <w:color w:val="92D050"/>
          <w:sz w:val="24"/>
          <w:szCs w:val="24"/>
        </w:rPr>
        <w:t>Registering</w:t>
      </w:r>
      <w:r w:rsidR="00D34E4A" w:rsidRPr="00AB1CC4">
        <w:rPr>
          <w:rFonts w:ascii="Arial" w:hAnsi="Arial" w:cs="Arial"/>
          <w:b/>
          <w:color w:val="92D050"/>
          <w:sz w:val="24"/>
          <w:szCs w:val="24"/>
        </w:rPr>
        <w:t xml:space="preserve"> your interest in </w:t>
      </w:r>
      <w:r w:rsidR="00BA6430" w:rsidRPr="00AB1CC4">
        <w:rPr>
          <w:rFonts w:ascii="Arial" w:hAnsi="Arial" w:cs="Arial"/>
          <w:b/>
          <w:color w:val="92D050"/>
          <w:sz w:val="24"/>
          <w:szCs w:val="24"/>
        </w:rPr>
        <w:t>the</w:t>
      </w:r>
      <w:r w:rsidRPr="00AB1CC4">
        <w:rPr>
          <w:rFonts w:ascii="Arial" w:hAnsi="Arial" w:cs="Arial"/>
          <w:b/>
          <w:color w:val="92D050"/>
          <w:sz w:val="24"/>
          <w:szCs w:val="24"/>
        </w:rPr>
        <w:t xml:space="preserve"> intensive support</w:t>
      </w:r>
      <w:r w:rsidR="00BA6430" w:rsidRPr="00AB1CC4">
        <w:rPr>
          <w:rFonts w:ascii="Arial" w:hAnsi="Arial" w:cs="Arial"/>
          <w:b/>
          <w:color w:val="92D050"/>
          <w:sz w:val="24"/>
          <w:szCs w:val="24"/>
        </w:rPr>
        <w:t xml:space="preserve"> programme </w:t>
      </w:r>
    </w:p>
    <w:p w14:paraId="42A5B99A" w14:textId="4D4D8FCE" w:rsidR="00FE3535" w:rsidRDefault="00FE3535" w:rsidP="00BA6430">
      <w:pPr>
        <w:ind w:right="-330"/>
        <w:rPr>
          <w:rFonts w:ascii="Arial" w:hAnsi="Arial" w:cs="Arial"/>
          <w:sz w:val="24"/>
          <w:szCs w:val="24"/>
        </w:rPr>
      </w:pPr>
      <w:r>
        <w:rPr>
          <w:rFonts w:ascii="Arial" w:hAnsi="Arial" w:cs="Arial"/>
          <w:sz w:val="24"/>
          <w:szCs w:val="24"/>
        </w:rPr>
        <w:t xml:space="preserve">The Training Hub will be supporting the delivery of this by using the CPD funding so it will be free for all Practices/ PCNs. </w:t>
      </w:r>
    </w:p>
    <w:p w14:paraId="109E5607" w14:textId="78A3E56F" w:rsidR="00C6381C" w:rsidRDefault="00C6381C" w:rsidP="00BA6430">
      <w:pPr>
        <w:ind w:right="-330"/>
        <w:rPr>
          <w:rFonts w:ascii="Arial" w:hAnsi="Arial" w:cs="Arial"/>
          <w:sz w:val="24"/>
          <w:szCs w:val="24"/>
        </w:rPr>
      </w:pPr>
      <w:r>
        <w:rPr>
          <w:rFonts w:ascii="Arial" w:hAnsi="Arial" w:cs="Arial"/>
          <w:sz w:val="24"/>
          <w:szCs w:val="24"/>
        </w:rPr>
        <w:t>Your next step is to register so that you can be sure of getting this support.</w:t>
      </w:r>
    </w:p>
    <w:p w14:paraId="3A9A9752" w14:textId="2824735F" w:rsidR="00622547" w:rsidRPr="0092223D" w:rsidRDefault="00BA6430" w:rsidP="0092223D">
      <w:pPr>
        <w:ind w:right="-330"/>
        <w:rPr>
          <w:rFonts w:ascii="Arial" w:hAnsi="Arial" w:cs="Arial"/>
          <w:sz w:val="24"/>
          <w:szCs w:val="24"/>
        </w:rPr>
      </w:pPr>
      <w:r>
        <w:rPr>
          <w:rFonts w:ascii="Arial" w:hAnsi="Arial" w:cs="Arial"/>
          <w:sz w:val="24"/>
          <w:szCs w:val="24"/>
        </w:rPr>
        <w:t>To register your team on the programme, please</w:t>
      </w:r>
      <w:r w:rsidR="00D34E4A">
        <w:rPr>
          <w:rFonts w:ascii="Arial" w:hAnsi="Arial" w:cs="Arial"/>
          <w:sz w:val="24"/>
          <w:szCs w:val="24"/>
        </w:rPr>
        <w:t xml:space="preserve"> email:</w:t>
      </w:r>
      <w:r>
        <w:rPr>
          <w:rFonts w:ascii="Arial" w:hAnsi="Arial" w:cs="Arial"/>
          <w:sz w:val="24"/>
          <w:szCs w:val="24"/>
        </w:rPr>
        <w:t xml:space="preserve"> </w:t>
      </w:r>
      <w:r w:rsidR="0092223D" w:rsidRPr="00AB1CC4">
        <w:rPr>
          <w:rFonts w:ascii="Arial" w:hAnsi="Arial" w:cs="Arial"/>
          <w:b/>
          <w:bCs/>
          <w:color w:val="92D050"/>
          <w:sz w:val="24"/>
          <w:szCs w:val="24"/>
        </w:rPr>
        <w:t>wiccg.wirraleth.cpd@nhs.net</w:t>
      </w:r>
      <w:r w:rsidRPr="00AB1CC4">
        <w:rPr>
          <w:rFonts w:ascii="Arial" w:hAnsi="Arial" w:cs="Arial"/>
          <w:color w:val="92D050"/>
          <w:sz w:val="24"/>
          <w:szCs w:val="24"/>
        </w:rPr>
        <w:t xml:space="preserve"> </w:t>
      </w:r>
      <w:r w:rsidRPr="00BA6430">
        <w:rPr>
          <w:rFonts w:ascii="Arial" w:hAnsi="Arial" w:cs="Arial"/>
          <w:sz w:val="24"/>
          <w:szCs w:val="24"/>
        </w:rPr>
        <w:t>by:</w:t>
      </w:r>
      <w:r>
        <w:rPr>
          <w:rFonts w:ascii="Arial" w:hAnsi="Arial" w:cs="Arial"/>
          <w:color w:val="FF0000"/>
          <w:sz w:val="24"/>
          <w:szCs w:val="24"/>
        </w:rPr>
        <w:t xml:space="preserve"> </w:t>
      </w:r>
      <w:r w:rsidR="009328A8">
        <w:rPr>
          <w:rFonts w:ascii="Arial" w:hAnsi="Arial" w:cs="Arial"/>
          <w:b/>
          <w:bCs/>
          <w:color w:val="92D050"/>
          <w:sz w:val="24"/>
          <w:szCs w:val="24"/>
        </w:rPr>
        <w:t>28</w:t>
      </w:r>
      <w:r w:rsidR="0092223D" w:rsidRPr="00AB1CC4">
        <w:rPr>
          <w:rFonts w:ascii="Arial" w:hAnsi="Arial" w:cs="Arial"/>
          <w:b/>
          <w:bCs/>
          <w:color w:val="92D050"/>
          <w:sz w:val="24"/>
          <w:szCs w:val="24"/>
        </w:rPr>
        <w:t>.</w:t>
      </w:r>
      <w:r w:rsidR="00E348B8">
        <w:rPr>
          <w:rFonts w:ascii="Arial" w:hAnsi="Arial" w:cs="Arial"/>
          <w:b/>
          <w:bCs/>
          <w:color w:val="92D050"/>
          <w:sz w:val="24"/>
          <w:szCs w:val="24"/>
        </w:rPr>
        <w:t>0</w:t>
      </w:r>
      <w:r w:rsidR="00242273">
        <w:rPr>
          <w:rFonts w:ascii="Arial" w:hAnsi="Arial" w:cs="Arial"/>
          <w:b/>
          <w:bCs/>
          <w:color w:val="92D050"/>
          <w:sz w:val="24"/>
          <w:szCs w:val="24"/>
        </w:rPr>
        <w:t>2</w:t>
      </w:r>
      <w:r w:rsidR="00E348B8">
        <w:rPr>
          <w:rFonts w:ascii="Arial" w:hAnsi="Arial" w:cs="Arial"/>
          <w:b/>
          <w:bCs/>
          <w:color w:val="92D050"/>
          <w:sz w:val="24"/>
          <w:szCs w:val="24"/>
        </w:rPr>
        <w:t>.2022</w:t>
      </w:r>
    </w:p>
    <w:sectPr w:rsidR="00622547" w:rsidRPr="0092223D" w:rsidSect="008167CD">
      <w:headerReference w:type="even" r:id="rId10"/>
      <w:headerReference w:type="default" r:id="rId11"/>
      <w:footerReference w:type="default" r:id="rId12"/>
      <w:pgSz w:w="11906" w:h="16838"/>
      <w:pgMar w:top="1135" w:right="1274" w:bottom="567"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146A0" w14:textId="77777777" w:rsidR="00CD2406" w:rsidRDefault="00CD2406" w:rsidP="00856E8A">
      <w:pPr>
        <w:spacing w:after="0" w:line="240" w:lineRule="auto"/>
      </w:pPr>
      <w:r>
        <w:separator/>
      </w:r>
    </w:p>
  </w:endnote>
  <w:endnote w:type="continuationSeparator" w:id="0">
    <w:p w14:paraId="1CE4174E" w14:textId="77777777" w:rsidR="00CD2406" w:rsidRDefault="00CD2406" w:rsidP="00856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651281"/>
      <w:docPartObj>
        <w:docPartGallery w:val="Page Numbers (Bottom of Page)"/>
        <w:docPartUnique/>
      </w:docPartObj>
    </w:sdtPr>
    <w:sdtEndPr>
      <w:rPr>
        <w:noProof/>
      </w:rPr>
    </w:sdtEndPr>
    <w:sdtContent>
      <w:p w14:paraId="3A9A9762" w14:textId="36BE41ED" w:rsidR="00BA6430" w:rsidRDefault="00BA6430">
        <w:pPr>
          <w:pStyle w:val="Footer"/>
          <w:jc w:val="center"/>
        </w:pPr>
        <w:r>
          <w:fldChar w:fldCharType="begin"/>
        </w:r>
        <w:r>
          <w:instrText xml:space="preserve"> PAGE   \* MERGEFORMAT </w:instrText>
        </w:r>
        <w:r>
          <w:fldChar w:fldCharType="separate"/>
        </w:r>
        <w:r w:rsidR="00D34E4A">
          <w:rPr>
            <w:noProof/>
          </w:rPr>
          <w:t>3</w:t>
        </w:r>
        <w:r>
          <w:rPr>
            <w:noProof/>
          </w:rPr>
          <w:fldChar w:fldCharType="end"/>
        </w:r>
      </w:p>
    </w:sdtContent>
  </w:sdt>
  <w:p w14:paraId="3A9A9763" w14:textId="77777777" w:rsidR="00BA6430" w:rsidRDefault="00BA6430" w:rsidP="0085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99A2B" w14:textId="77777777" w:rsidR="00CD2406" w:rsidRDefault="00CD2406" w:rsidP="00856E8A">
      <w:pPr>
        <w:spacing w:after="0" w:line="240" w:lineRule="auto"/>
      </w:pPr>
      <w:r>
        <w:separator/>
      </w:r>
    </w:p>
  </w:footnote>
  <w:footnote w:type="continuationSeparator" w:id="0">
    <w:p w14:paraId="3C0EFA69" w14:textId="77777777" w:rsidR="00CD2406" w:rsidRDefault="00CD2406" w:rsidP="00856E8A">
      <w:pPr>
        <w:spacing w:after="0" w:line="240" w:lineRule="auto"/>
      </w:pPr>
      <w:r>
        <w:continuationSeparator/>
      </w:r>
    </w:p>
  </w:footnote>
  <w:footnote w:id="1">
    <w:p w14:paraId="4B81D521" w14:textId="77777777" w:rsidR="00FE1346" w:rsidRPr="005E38C6" w:rsidRDefault="00FE1346" w:rsidP="00FE1346">
      <w:pPr>
        <w:rPr>
          <w:rFonts w:ascii="Arial" w:eastAsia="Times New Roman" w:hAnsi="Arial" w:cs="Arial"/>
          <w:color w:val="000000" w:themeColor="text1"/>
          <w:sz w:val="16"/>
          <w:szCs w:val="16"/>
          <w:lang w:eastAsia="en-GB"/>
        </w:rPr>
      </w:pPr>
      <w:r w:rsidRPr="005E38C6">
        <w:rPr>
          <w:rStyle w:val="FootnoteReference"/>
          <w:rFonts w:ascii="Arial" w:hAnsi="Arial" w:cs="Arial"/>
        </w:rPr>
        <w:footnoteRef/>
      </w:r>
      <w:r w:rsidRPr="005E38C6">
        <w:rPr>
          <w:rFonts w:ascii="Arial" w:hAnsi="Arial" w:cs="Arial"/>
        </w:rPr>
        <w:t xml:space="preserve"> </w:t>
      </w:r>
      <w:r w:rsidRPr="005E38C6">
        <w:rPr>
          <w:rFonts w:ascii="Arial" w:eastAsia="Times New Roman" w:hAnsi="Arial" w:cs="Arial"/>
          <w:color w:val="000000" w:themeColor="text1"/>
          <w:sz w:val="16"/>
          <w:szCs w:val="16"/>
          <w:lang w:eastAsia="en-GB"/>
        </w:rPr>
        <w:t>Gandhi D, Craig G. An evaluation of the suitability, feasibility and acceptability of diabetes group consultations in Brigstock Medical Practice. Journal of Medicines Optimisation (</w:t>
      </w:r>
      <w:proofErr w:type="spellStart"/>
      <w:r w:rsidRPr="005E38C6">
        <w:rPr>
          <w:rFonts w:ascii="Arial" w:eastAsia="Times New Roman" w:hAnsi="Arial" w:cs="Arial"/>
          <w:color w:val="000000" w:themeColor="text1"/>
          <w:sz w:val="16"/>
          <w:szCs w:val="16"/>
          <w:lang w:eastAsia="en-GB"/>
        </w:rPr>
        <w:t>JoMO</w:t>
      </w:r>
      <w:proofErr w:type="spellEnd"/>
      <w:r w:rsidRPr="005E38C6">
        <w:rPr>
          <w:rFonts w:ascii="Arial" w:eastAsia="Times New Roman" w:hAnsi="Arial" w:cs="Arial"/>
          <w:color w:val="000000" w:themeColor="text1"/>
          <w:sz w:val="16"/>
          <w:szCs w:val="16"/>
          <w:lang w:eastAsia="en-GB"/>
        </w:rPr>
        <w:t xml:space="preserve">). September </w:t>
      </w:r>
      <w:r>
        <w:rPr>
          <w:rFonts w:ascii="Arial" w:eastAsia="Times New Roman" w:hAnsi="Arial" w:cs="Arial"/>
          <w:color w:val="000000" w:themeColor="text1"/>
          <w:sz w:val="16"/>
          <w:szCs w:val="16"/>
          <w:lang w:eastAsia="en-GB"/>
        </w:rPr>
        <w:t>2019;5(2):39-44</w:t>
      </w:r>
    </w:p>
  </w:footnote>
  <w:footnote w:id="2">
    <w:p w14:paraId="4EDA2D0D" w14:textId="77777777" w:rsidR="00FE1346" w:rsidRPr="00BA6430" w:rsidRDefault="00FE1346" w:rsidP="00FE1346">
      <w:pPr>
        <w:pStyle w:val="FootnoteText"/>
        <w:rPr>
          <w:lang w:val="en-US"/>
        </w:rPr>
      </w:pPr>
      <w:r>
        <w:rPr>
          <w:rStyle w:val="FootnoteReference"/>
        </w:rPr>
        <w:footnoteRef/>
      </w:r>
      <w:r>
        <w:t xml:space="preserve"> </w:t>
      </w:r>
      <w:r w:rsidRPr="002A2CED">
        <w:rPr>
          <w:rFonts w:ascii="Calibri" w:hAnsi="Calibri" w:cs="Calibri"/>
          <w:color w:val="0260BF"/>
          <w:sz w:val="20"/>
        </w:rPr>
        <w:t>https://www.bmj.com/content/358/bmj.j4034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073B" w14:textId="77777777" w:rsidR="00FA15D6" w:rsidRDefault="00CC0BE5">
    <w:pPr>
      <w:pStyle w:val="Header"/>
    </w:pPr>
    <w:sdt>
      <w:sdtPr>
        <w:id w:val="171999623"/>
        <w:placeholder>
          <w:docPart w:val="112DB6D1BCF51B41AA82B496BAD622F9"/>
        </w:placeholder>
        <w:temporary/>
        <w:showingPlcHdr/>
      </w:sdtPr>
      <w:sdtEndPr/>
      <w:sdtContent>
        <w:r w:rsidR="00FA15D6">
          <w:t>[Type text]</w:t>
        </w:r>
      </w:sdtContent>
    </w:sdt>
    <w:r w:rsidR="00FA15D6">
      <w:ptab w:relativeTo="margin" w:alignment="center" w:leader="none"/>
    </w:r>
    <w:sdt>
      <w:sdtPr>
        <w:id w:val="171999624"/>
        <w:placeholder>
          <w:docPart w:val="187D50565692B74DBB657DBBB1B2DF12"/>
        </w:placeholder>
        <w:temporary/>
        <w:showingPlcHdr/>
      </w:sdtPr>
      <w:sdtEndPr/>
      <w:sdtContent>
        <w:r w:rsidR="00FA15D6">
          <w:t>[Type text]</w:t>
        </w:r>
      </w:sdtContent>
    </w:sdt>
    <w:r w:rsidR="00FA15D6">
      <w:ptab w:relativeTo="margin" w:alignment="right" w:leader="none"/>
    </w:r>
    <w:sdt>
      <w:sdtPr>
        <w:id w:val="171999625"/>
        <w:placeholder>
          <w:docPart w:val="166D7D9EF021034C9489A55ADDEC6C40"/>
        </w:placeholder>
        <w:temporary/>
        <w:showingPlcHdr/>
      </w:sdtPr>
      <w:sdtEndPr/>
      <w:sdtContent>
        <w:r w:rsidR="00FA15D6">
          <w:t>[Type text]</w:t>
        </w:r>
      </w:sdtContent>
    </w:sdt>
  </w:p>
  <w:p w14:paraId="57137EC8" w14:textId="77777777" w:rsidR="00FA15D6" w:rsidRDefault="00FA15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25644" w14:textId="1363BFE4" w:rsidR="00FA15D6" w:rsidRPr="00FA15D6" w:rsidRDefault="0092223D">
    <w:pPr>
      <w:pStyle w:val="Header"/>
      <w:rPr>
        <w:color w:val="FF0000"/>
      </w:rPr>
    </w:pPr>
    <w:r>
      <w:rPr>
        <w:rFonts w:ascii="Times New Roman" w:hAnsi="Times New Roman"/>
        <w:noProof/>
        <w:sz w:val="24"/>
        <w:szCs w:val="24"/>
      </w:rPr>
      <w:drawing>
        <wp:anchor distT="36576" distB="36576" distL="36576" distR="36576" simplePos="0" relativeHeight="251665408" behindDoc="0" locked="0" layoutInCell="1" allowOverlap="1" wp14:anchorId="035AE68E" wp14:editId="74C55BD3">
          <wp:simplePos x="0" y="0"/>
          <wp:positionH relativeFrom="column">
            <wp:posOffset>-839773</wp:posOffset>
          </wp:positionH>
          <wp:positionV relativeFrom="paragraph">
            <wp:posOffset>-359192</wp:posOffset>
          </wp:positionV>
          <wp:extent cx="672465" cy="67246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83707"/>
    <w:multiLevelType w:val="hybridMultilevel"/>
    <w:tmpl w:val="9BC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6854271"/>
    <w:multiLevelType w:val="hybridMultilevel"/>
    <w:tmpl w:val="65583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04E3"/>
    <w:multiLevelType w:val="multilevel"/>
    <w:tmpl w:val="D38AF662"/>
    <w:lvl w:ilvl="0">
      <w:start w:val="1"/>
      <w:numFmt w:val="decimal"/>
      <w:pStyle w:val="MRNumberedHeading1"/>
      <w:lvlText w:val="%1"/>
      <w:lvlJc w:val="left"/>
      <w:pPr>
        <w:tabs>
          <w:tab w:val="num" w:pos="798"/>
        </w:tabs>
        <w:ind w:left="798"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4" w15:restartNumberingAfterBreak="0">
    <w:nsid w:val="1EFD1584"/>
    <w:multiLevelType w:val="hybridMultilevel"/>
    <w:tmpl w:val="166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C24CE"/>
    <w:multiLevelType w:val="hybridMultilevel"/>
    <w:tmpl w:val="9BF6DB64"/>
    <w:lvl w:ilvl="0" w:tplc="AF3E5B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327C3"/>
    <w:multiLevelType w:val="hybridMultilevel"/>
    <w:tmpl w:val="18F4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E5E7B"/>
    <w:multiLevelType w:val="hybridMultilevel"/>
    <w:tmpl w:val="9986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2C061C0B"/>
    <w:multiLevelType w:val="hybridMultilevel"/>
    <w:tmpl w:val="1D5A5E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2D154D60"/>
    <w:multiLevelType w:val="hybridMultilevel"/>
    <w:tmpl w:val="1F9AD3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7C8A"/>
    <w:multiLevelType w:val="hybridMultilevel"/>
    <w:tmpl w:val="1B500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F25371"/>
    <w:multiLevelType w:val="hybridMultilevel"/>
    <w:tmpl w:val="D000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A4E49"/>
    <w:multiLevelType w:val="hybridMultilevel"/>
    <w:tmpl w:val="3338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D6C78EE"/>
    <w:multiLevelType w:val="hybridMultilevel"/>
    <w:tmpl w:val="18A4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54A69"/>
    <w:multiLevelType w:val="hybridMultilevel"/>
    <w:tmpl w:val="AD4E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EB4678"/>
    <w:multiLevelType w:val="hybridMultilevel"/>
    <w:tmpl w:val="7412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E339F"/>
    <w:multiLevelType w:val="hybridMultilevel"/>
    <w:tmpl w:val="553E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4320B"/>
    <w:multiLevelType w:val="hybridMultilevel"/>
    <w:tmpl w:val="3602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8278B"/>
    <w:multiLevelType w:val="hybridMultilevel"/>
    <w:tmpl w:val="6798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E27C3"/>
    <w:multiLevelType w:val="hybridMultilevel"/>
    <w:tmpl w:val="16DAE8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168E3"/>
    <w:multiLevelType w:val="hybridMultilevel"/>
    <w:tmpl w:val="1B72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1" w15:restartNumberingAfterBreak="0">
    <w:nsid w:val="79C4171F"/>
    <w:multiLevelType w:val="hybridMultilevel"/>
    <w:tmpl w:val="4558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C69E6"/>
    <w:multiLevelType w:val="hybridMultilevel"/>
    <w:tmpl w:val="B93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0"/>
  </w:num>
  <w:num w:numId="2">
    <w:abstractNumId w:val="8"/>
  </w:num>
  <w:num w:numId="3">
    <w:abstractNumId w:val="14"/>
  </w:num>
  <w:num w:numId="4">
    <w:abstractNumId w:val="21"/>
  </w:num>
  <w:num w:numId="5">
    <w:abstractNumId w:val="3"/>
  </w:num>
  <w:num w:numId="6">
    <w:abstractNumId w:val="0"/>
  </w:num>
  <w:num w:numId="7">
    <w:abstractNumId w:val="16"/>
  </w:num>
  <w:num w:numId="8">
    <w:abstractNumId w:val="19"/>
  </w:num>
  <w:num w:numId="9">
    <w:abstractNumId w:val="5"/>
  </w:num>
  <w:num w:numId="10">
    <w:abstractNumId w:val="6"/>
  </w:num>
  <w:num w:numId="11">
    <w:abstractNumId w:val="13"/>
  </w:num>
  <w:num w:numId="12">
    <w:abstractNumId w:val="15"/>
  </w:num>
  <w:num w:numId="13">
    <w:abstractNumId w:val="2"/>
  </w:num>
  <w:num w:numId="14">
    <w:abstractNumId w:val="17"/>
  </w:num>
  <w:num w:numId="15">
    <w:abstractNumId w:val="11"/>
  </w:num>
  <w:num w:numId="16">
    <w:abstractNumId w:val="9"/>
  </w:num>
  <w:num w:numId="17">
    <w:abstractNumId w:val="18"/>
  </w:num>
  <w:num w:numId="18">
    <w:abstractNumId w:val="4"/>
  </w:num>
  <w:num w:numId="19">
    <w:abstractNumId w:val="12"/>
  </w:num>
  <w:num w:numId="20">
    <w:abstractNumId w:val="22"/>
  </w:num>
  <w:num w:numId="21">
    <w:abstractNumId w:val="20"/>
  </w:num>
  <w:num w:numId="22">
    <w:abstractNumId w:val="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CD"/>
    <w:rsid w:val="00066696"/>
    <w:rsid w:val="00092A12"/>
    <w:rsid w:val="000A1841"/>
    <w:rsid w:val="000D7044"/>
    <w:rsid w:val="00117A4B"/>
    <w:rsid w:val="0012738D"/>
    <w:rsid w:val="00130722"/>
    <w:rsid w:val="001539F2"/>
    <w:rsid w:val="00161B11"/>
    <w:rsid w:val="00175E34"/>
    <w:rsid w:val="0018795E"/>
    <w:rsid w:val="00197B7F"/>
    <w:rsid w:val="001D37FF"/>
    <w:rsid w:val="001D73BD"/>
    <w:rsid w:val="001E2F95"/>
    <w:rsid w:val="001F0DD5"/>
    <w:rsid w:val="001F13DF"/>
    <w:rsid w:val="00223033"/>
    <w:rsid w:val="00225505"/>
    <w:rsid w:val="00226E41"/>
    <w:rsid w:val="00242273"/>
    <w:rsid w:val="0024585A"/>
    <w:rsid w:val="0025344B"/>
    <w:rsid w:val="002623FB"/>
    <w:rsid w:val="002C7261"/>
    <w:rsid w:val="002C79AE"/>
    <w:rsid w:val="002D1B1E"/>
    <w:rsid w:val="0031759F"/>
    <w:rsid w:val="00326570"/>
    <w:rsid w:val="00371712"/>
    <w:rsid w:val="003937F4"/>
    <w:rsid w:val="003B4779"/>
    <w:rsid w:val="003B47A0"/>
    <w:rsid w:val="003E0717"/>
    <w:rsid w:val="003F4B57"/>
    <w:rsid w:val="004053BF"/>
    <w:rsid w:val="0041781A"/>
    <w:rsid w:val="00417A37"/>
    <w:rsid w:val="00422DC9"/>
    <w:rsid w:val="00434887"/>
    <w:rsid w:val="004421CD"/>
    <w:rsid w:val="00450106"/>
    <w:rsid w:val="00471549"/>
    <w:rsid w:val="004846C3"/>
    <w:rsid w:val="0048480D"/>
    <w:rsid w:val="004C79C2"/>
    <w:rsid w:val="00535DA2"/>
    <w:rsid w:val="0055263E"/>
    <w:rsid w:val="00553B46"/>
    <w:rsid w:val="005F3079"/>
    <w:rsid w:val="005F4C5D"/>
    <w:rsid w:val="0060586A"/>
    <w:rsid w:val="00621B35"/>
    <w:rsid w:val="00622547"/>
    <w:rsid w:val="00635E5F"/>
    <w:rsid w:val="00654966"/>
    <w:rsid w:val="00655043"/>
    <w:rsid w:val="00655A2C"/>
    <w:rsid w:val="00677A96"/>
    <w:rsid w:val="006A15D4"/>
    <w:rsid w:val="006E14D9"/>
    <w:rsid w:val="006E2024"/>
    <w:rsid w:val="00701FDE"/>
    <w:rsid w:val="007457CC"/>
    <w:rsid w:val="00760375"/>
    <w:rsid w:val="007904B3"/>
    <w:rsid w:val="00792A56"/>
    <w:rsid w:val="007B2792"/>
    <w:rsid w:val="00801BF2"/>
    <w:rsid w:val="00810A9F"/>
    <w:rsid w:val="008167CD"/>
    <w:rsid w:val="00830C47"/>
    <w:rsid w:val="00856E8A"/>
    <w:rsid w:val="008761FC"/>
    <w:rsid w:val="00890FBE"/>
    <w:rsid w:val="008C28D8"/>
    <w:rsid w:val="009105C6"/>
    <w:rsid w:val="0092223D"/>
    <w:rsid w:val="00931946"/>
    <w:rsid w:val="009328A8"/>
    <w:rsid w:val="00936F53"/>
    <w:rsid w:val="00983A69"/>
    <w:rsid w:val="00997090"/>
    <w:rsid w:val="009B557C"/>
    <w:rsid w:val="009C05F7"/>
    <w:rsid w:val="009E0BEE"/>
    <w:rsid w:val="00A01B0C"/>
    <w:rsid w:val="00A055ED"/>
    <w:rsid w:val="00A47F1B"/>
    <w:rsid w:val="00A702C4"/>
    <w:rsid w:val="00AB1CC4"/>
    <w:rsid w:val="00AD3E98"/>
    <w:rsid w:val="00AD72BF"/>
    <w:rsid w:val="00AE6756"/>
    <w:rsid w:val="00AE6845"/>
    <w:rsid w:val="00B111EE"/>
    <w:rsid w:val="00B16450"/>
    <w:rsid w:val="00B677D4"/>
    <w:rsid w:val="00B7137B"/>
    <w:rsid w:val="00B81361"/>
    <w:rsid w:val="00B84D62"/>
    <w:rsid w:val="00B87AA3"/>
    <w:rsid w:val="00BA392F"/>
    <w:rsid w:val="00BA6430"/>
    <w:rsid w:val="00BB6856"/>
    <w:rsid w:val="00BD2E5C"/>
    <w:rsid w:val="00BD3F32"/>
    <w:rsid w:val="00BE25BA"/>
    <w:rsid w:val="00BE57D9"/>
    <w:rsid w:val="00C07E3E"/>
    <w:rsid w:val="00C23973"/>
    <w:rsid w:val="00C262AE"/>
    <w:rsid w:val="00C35559"/>
    <w:rsid w:val="00C35C2A"/>
    <w:rsid w:val="00C6381C"/>
    <w:rsid w:val="00C63FA5"/>
    <w:rsid w:val="00C7660E"/>
    <w:rsid w:val="00C92943"/>
    <w:rsid w:val="00C92CB4"/>
    <w:rsid w:val="00CB543C"/>
    <w:rsid w:val="00CC0BE5"/>
    <w:rsid w:val="00CD1F6A"/>
    <w:rsid w:val="00CD2406"/>
    <w:rsid w:val="00D34E4A"/>
    <w:rsid w:val="00D5084E"/>
    <w:rsid w:val="00D679BD"/>
    <w:rsid w:val="00D93345"/>
    <w:rsid w:val="00D96211"/>
    <w:rsid w:val="00DB6F37"/>
    <w:rsid w:val="00DC0FE1"/>
    <w:rsid w:val="00DC6216"/>
    <w:rsid w:val="00DD1251"/>
    <w:rsid w:val="00DD33F7"/>
    <w:rsid w:val="00DE5B07"/>
    <w:rsid w:val="00DF37C2"/>
    <w:rsid w:val="00E12A34"/>
    <w:rsid w:val="00E348B8"/>
    <w:rsid w:val="00E53458"/>
    <w:rsid w:val="00E640F5"/>
    <w:rsid w:val="00E6651C"/>
    <w:rsid w:val="00E81A34"/>
    <w:rsid w:val="00F16278"/>
    <w:rsid w:val="00F32AB9"/>
    <w:rsid w:val="00F571FE"/>
    <w:rsid w:val="00F65531"/>
    <w:rsid w:val="00F8185C"/>
    <w:rsid w:val="00F97FC0"/>
    <w:rsid w:val="00FA15D6"/>
    <w:rsid w:val="00FB0F8D"/>
    <w:rsid w:val="00FC793C"/>
    <w:rsid w:val="00FE1346"/>
    <w:rsid w:val="00FE3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A9A96C4"/>
  <w15:docId w15:val="{A5E52793-A015-486B-B47B-8E91598A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375"/>
    <w:rPr>
      <w:color w:val="0000FF" w:themeColor="hyperlink"/>
      <w:u w:val="single"/>
    </w:rPr>
  </w:style>
  <w:style w:type="paragraph" w:styleId="NoSpacing">
    <w:name w:val="No Spacing"/>
    <w:uiPriority w:val="1"/>
    <w:qFormat/>
    <w:rsid w:val="001539F2"/>
    <w:pPr>
      <w:spacing w:after="0" w:line="240" w:lineRule="auto"/>
    </w:pPr>
  </w:style>
  <w:style w:type="paragraph" w:styleId="ListParagraph">
    <w:name w:val="List Paragraph"/>
    <w:basedOn w:val="Normal"/>
    <w:link w:val="ListParagraphChar"/>
    <w:uiPriority w:val="34"/>
    <w:qFormat/>
    <w:rsid w:val="00B84D62"/>
    <w:pPr>
      <w:ind w:left="720"/>
      <w:contextualSpacing/>
    </w:pPr>
  </w:style>
  <w:style w:type="paragraph" w:styleId="Header">
    <w:name w:val="header"/>
    <w:basedOn w:val="Normal"/>
    <w:link w:val="HeaderChar"/>
    <w:uiPriority w:val="99"/>
    <w:unhideWhenUsed/>
    <w:rsid w:val="00856E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E8A"/>
  </w:style>
  <w:style w:type="paragraph" w:styleId="Footer">
    <w:name w:val="footer"/>
    <w:basedOn w:val="Normal"/>
    <w:link w:val="FooterChar"/>
    <w:uiPriority w:val="99"/>
    <w:unhideWhenUsed/>
    <w:rsid w:val="00856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E8A"/>
  </w:style>
  <w:style w:type="table" w:styleId="TableGrid">
    <w:name w:val="Table Grid"/>
    <w:basedOn w:val="TableNormal"/>
    <w:uiPriority w:val="59"/>
    <w:rsid w:val="00622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2547"/>
    <w:rPr>
      <w:color w:val="808080"/>
    </w:rPr>
  </w:style>
  <w:style w:type="paragraph" w:styleId="BalloonText">
    <w:name w:val="Balloon Text"/>
    <w:basedOn w:val="Normal"/>
    <w:link w:val="BalloonTextChar"/>
    <w:uiPriority w:val="99"/>
    <w:semiHidden/>
    <w:unhideWhenUsed/>
    <w:rsid w:val="0062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547"/>
    <w:rPr>
      <w:rFonts w:ascii="Tahoma" w:hAnsi="Tahoma" w:cs="Tahoma"/>
      <w:sz w:val="16"/>
      <w:szCs w:val="16"/>
    </w:rPr>
  </w:style>
  <w:style w:type="character" w:customStyle="1" w:styleId="UnresolvedMention1">
    <w:name w:val="Unresolved Mention1"/>
    <w:basedOn w:val="DefaultParagraphFont"/>
    <w:uiPriority w:val="99"/>
    <w:semiHidden/>
    <w:unhideWhenUsed/>
    <w:rsid w:val="00997090"/>
    <w:rPr>
      <w:color w:val="808080"/>
      <w:shd w:val="clear" w:color="auto" w:fill="E6E6E6"/>
    </w:rPr>
  </w:style>
  <w:style w:type="character" w:styleId="FootnoteReference">
    <w:name w:val="footnote reference"/>
    <w:basedOn w:val="DefaultParagraphFont"/>
    <w:uiPriority w:val="99"/>
    <w:rsid w:val="00810A9F"/>
    <w:rPr>
      <w:vertAlign w:val="superscript"/>
    </w:rPr>
  </w:style>
  <w:style w:type="paragraph" w:styleId="FootnoteText">
    <w:name w:val="footnote text"/>
    <w:link w:val="FootnoteTextChar"/>
    <w:uiPriority w:val="99"/>
    <w:rsid w:val="00810A9F"/>
    <w:pPr>
      <w:spacing w:after="0" w:line="240" w:lineRule="auto"/>
      <w:jc w:val="both"/>
    </w:pPr>
    <w:rPr>
      <w:rFonts w:ascii="Arial" w:eastAsia="Times New Roman" w:hAnsi="Arial" w:cs="Times New Roman"/>
      <w:color w:val="000000" w:themeColor="text1"/>
      <w:sz w:val="18"/>
      <w:szCs w:val="20"/>
      <w:lang w:eastAsia="en-GB"/>
    </w:rPr>
  </w:style>
  <w:style w:type="character" w:customStyle="1" w:styleId="FootnoteTextChar">
    <w:name w:val="Footnote Text Char"/>
    <w:basedOn w:val="DefaultParagraphFont"/>
    <w:link w:val="FootnoteText"/>
    <w:uiPriority w:val="99"/>
    <w:rsid w:val="00810A9F"/>
    <w:rPr>
      <w:rFonts w:ascii="Arial" w:eastAsia="Times New Roman" w:hAnsi="Arial" w:cs="Times New Roman"/>
      <w:color w:val="000000" w:themeColor="text1"/>
      <w:sz w:val="18"/>
      <w:szCs w:val="20"/>
      <w:lang w:eastAsia="en-GB"/>
    </w:rPr>
  </w:style>
  <w:style w:type="paragraph" w:styleId="NormalWeb">
    <w:name w:val="Normal (Web)"/>
    <w:basedOn w:val="Normal"/>
    <w:uiPriority w:val="99"/>
    <w:unhideWhenUsed/>
    <w:rsid w:val="00810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RNumberedHeading2">
    <w:name w:val="M&amp;R Numbered Heading 2"/>
    <w:basedOn w:val="Normal"/>
    <w:rsid w:val="00810A9F"/>
    <w:pPr>
      <w:numPr>
        <w:ilvl w:val="1"/>
        <w:numId w:val="5"/>
      </w:numPr>
      <w:spacing w:before="240" w:after="0" w:line="240" w:lineRule="auto"/>
      <w:jc w:val="both"/>
      <w:outlineLvl w:val="1"/>
    </w:pPr>
    <w:rPr>
      <w:rFonts w:ascii="Arial" w:eastAsia="Times New Roman" w:hAnsi="Arial" w:cs="Times New Roman"/>
      <w:sz w:val="20"/>
      <w:szCs w:val="24"/>
      <w:lang w:eastAsia="en-GB"/>
    </w:rPr>
  </w:style>
  <w:style w:type="paragraph" w:customStyle="1" w:styleId="MRNumberedHeading1">
    <w:name w:val="M&amp;R Numbered Heading 1"/>
    <w:basedOn w:val="Normal"/>
    <w:rsid w:val="00810A9F"/>
    <w:pPr>
      <w:keepNext/>
      <w:keepLines/>
      <w:numPr>
        <w:numId w:val="5"/>
      </w:numPr>
      <w:spacing w:before="240" w:after="0" w:line="288" w:lineRule="auto"/>
    </w:pPr>
    <w:rPr>
      <w:rFonts w:ascii="Arial" w:eastAsia="Calibri" w:hAnsi="Arial" w:cs="Arial"/>
      <w:b/>
      <w:lang w:eastAsia="en-GB"/>
    </w:rPr>
  </w:style>
  <w:style w:type="character" w:styleId="FollowedHyperlink">
    <w:name w:val="FollowedHyperlink"/>
    <w:basedOn w:val="DefaultParagraphFont"/>
    <w:uiPriority w:val="99"/>
    <w:semiHidden/>
    <w:unhideWhenUsed/>
    <w:rsid w:val="00DD33F7"/>
    <w:rPr>
      <w:color w:val="800080" w:themeColor="followedHyperlink"/>
      <w:u w:val="single"/>
    </w:rPr>
  </w:style>
  <w:style w:type="character" w:customStyle="1" w:styleId="ListParagraphChar">
    <w:name w:val="List Paragraph Char"/>
    <w:link w:val="ListParagraph"/>
    <w:uiPriority w:val="34"/>
    <w:locked/>
    <w:rsid w:val="00983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0933">
      <w:bodyDiv w:val="1"/>
      <w:marLeft w:val="0"/>
      <w:marRight w:val="0"/>
      <w:marTop w:val="0"/>
      <w:marBottom w:val="0"/>
      <w:divBdr>
        <w:top w:val="none" w:sz="0" w:space="0" w:color="auto"/>
        <w:left w:val="none" w:sz="0" w:space="0" w:color="auto"/>
        <w:bottom w:val="none" w:sz="0" w:space="0" w:color="auto"/>
        <w:right w:val="none" w:sz="0" w:space="0" w:color="auto"/>
      </w:divBdr>
    </w:div>
    <w:div w:id="11018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moorelc.co.uk/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dmoorelc.co.uk"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2DB6D1BCF51B41AA82B496BAD622F9"/>
        <w:category>
          <w:name w:val="General"/>
          <w:gallery w:val="placeholder"/>
        </w:category>
        <w:types>
          <w:type w:val="bbPlcHdr"/>
        </w:types>
        <w:behaviors>
          <w:behavior w:val="content"/>
        </w:behaviors>
        <w:guid w:val="{F96E6680-F860-1741-AF80-799EF8476FE8}"/>
      </w:docPartPr>
      <w:docPartBody>
        <w:p w:rsidR="00232320" w:rsidRDefault="00683B45" w:rsidP="00683B45">
          <w:pPr>
            <w:pStyle w:val="112DB6D1BCF51B41AA82B496BAD622F9"/>
          </w:pPr>
          <w:r>
            <w:t>[Type text]</w:t>
          </w:r>
        </w:p>
      </w:docPartBody>
    </w:docPart>
    <w:docPart>
      <w:docPartPr>
        <w:name w:val="187D50565692B74DBB657DBBB1B2DF12"/>
        <w:category>
          <w:name w:val="General"/>
          <w:gallery w:val="placeholder"/>
        </w:category>
        <w:types>
          <w:type w:val="bbPlcHdr"/>
        </w:types>
        <w:behaviors>
          <w:behavior w:val="content"/>
        </w:behaviors>
        <w:guid w:val="{F08215E8-DF71-5F4D-B3CD-7C29C62FA96F}"/>
      </w:docPartPr>
      <w:docPartBody>
        <w:p w:rsidR="00232320" w:rsidRDefault="00683B45" w:rsidP="00683B45">
          <w:pPr>
            <w:pStyle w:val="187D50565692B74DBB657DBBB1B2DF12"/>
          </w:pPr>
          <w:r>
            <w:t>[Type text]</w:t>
          </w:r>
        </w:p>
      </w:docPartBody>
    </w:docPart>
    <w:docPart>
      <w:docPartPr>
        <w:name w:val="166D7D9EF021034C9489A55ADDEC6C40"/>
        <w:category>
          <w:name w:val="General"/>
          <w:gallery w:val="placeholder"/>
        </w:category>
        <w:types>
          <w:type w:val="bbPlcHdr"/>
        </w:types>
        <w:behaviors>
          <w:behavior w:val="content"/>
        </w:behaviors>
        <w:guid w:val="{8D18AC1F-FE0C-7B4A-AC5C-1E533E9DBAAC}"/>
      </w:docPartPr>
      <w:docPartBody>
        <w:p w:rsidR="00232320" w:rsidRDefault="00683B45" w:rsidP="00683B45">
          <w:pPr>
            <w:pStyle w:val="166D7D9EF021034C9489A55ADDEC6C4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B45"/>
    <w:rsid w:val="00232320"/>
    <w:rsid w:val="003208B3"/>
    <w:rsid w:val="00683B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DB6D1BCF51B41AA82B496BAD622F9">
    <w:name w:val="112DB6D1BCF51B41AA82B496BAD622F9"/>
    <w:rsid w:val="00683B45"/>
  </w:style>
  <w:style w:type="paragraph" w:customStyle="1" w:styleId="187D50565692B74DBB657DBBB1B2DF12">
    <w:name w:val="187D50565692B74DBB657DBBB1B2DF12"/>
    <w:rsid w:val="00683B45"/>
  </w:style>
  <w:style w:type="paragraph" w:customStyle="1" w:styleId="166D7D9EF021034C9489A55ADDEC6C40">
    <w:name w:val="166D7D9EF021034C9489A55ADDEC6C40"/>
    <w:rsid w:val="00683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26E9-EF62-2B46-B04E-F5850FB4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Askarian</dc:creator>
  <cp:lastModifiedBy>BARTON, Falan (MIDDLEWOOD PARTNERSHIP)</cp:lastModifiedBy>
  <cp:revision>2</cp:revision>
  <cp:lastPrinted>2016-12-12T15:01:00Z</cp:lastPrinted>
  <dcterms:created xsi:type="dcterms:W3CDTF">2022-01-20T09:16:00Z</dcterms:created>
  <dcterms:modified xsi:type="dcterms:W3CDTF">2022-01-20T09:16:00Z</dcterms:modified>
</cp:coreProperties>
</file>