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Cambria" w:eastAsia="Calibri" w:hAnsi="Cambria"/>
          <w:caps/>
          <w:lang w:val="en-GB" w:eastAsia="en-US"/>
        </w:rPr>
        <w:id w:val="-1385325553"/>
        <w:docPartObj>
          <w:docPartGallery w:val="Cover Pages"/>
          <w:docPartUnique/>
        </w:docPartObj>
      </w:sdtPr>
      <w:sdtEndPr/>
      <w:sdtContent>
        <w:tbl>
          <w:tblPr>
            <w:tblW w:w="5000" w:type="pct"/>
            <w:jc w:val="center"/>
            <w:tblLook w:val="04A0" w:firstRow="1" w:lastRow="0" w:firstColumn="1" w:lastColumn="0" w:noHBand="0" w:noVBand="1"/>
          </w:tblPr>
          <w:tblGrid>
            <w:gridCol w:w="9242"/>
          </w:tblGrid>
          <w:tr w:rsidR="00984EA4" w:rsidTr="00984EA4">
            <w:trPr>
              <w:trHeight w:val="2880"/>
              <w:jc w:val="center"/>
            </w:trPr>
            <w:sdt>
              <w:sdtPr>
                <w:rPr>
                  <w:rFonts w:ascii="Cambria" w:eastAsia="Calibri" w:hAnsi="Cambria"/>
                  <w:caps/>
                  <w:lang w:val="en-GB" w:eastAsia="en-US"/>
                </w:rPr>
                <w:alias w:val="Company"/>
                <w:id w:val="15524243"/>
                <w:showingPlcHdr/>
                <w:dataBinding w:prefixMappings="xmlns:ns0='http://schemas.openxmlformats.org/officeDocument/2006/extended-properties'" w:xpath="/ns0:Properties[1]/ns0:Company[1]" w:storeItemID="{6668398D-A668-4E3E-A5EB-62B293D839F1}"/>
                <w:text/>
              </w:sdtPr>
              <w:sdtEndPr>
                <w:rPr>
                  <w:rFonts w:eastAsia="Times New Roman"/>
                </w:rPr>
              </w:sdtEndPr>
              <w:sdtContent>
                <w:tc>
                  <w:tcPr>
                    <w:tcW w:w="5000" w:type="pct"/>
                    <w:hideMark/>
                  </w:tcPr>
                  <w:p w:rsidR="00984EA4" w:rsidRDefault="00984EA4">
                    <w:pPr>
                      <w:pStyle w:val="NoSpacing"/>
                      <w:spacing w:line="276" w:lineRule="auto"/>
                      <w:jc w:val="center"/>
                      <w:rPr>
                        <w:rFonts w:ascii="Cambria" w:hAnsi="Cambria"/>
                        <w:caps/>
                      </w:rPr>
                    </w:pPr>
                    <w:r>
                      <w:rPr>
                        <w:rFonts w:ascii="Cambria" w:hAnsi="Cambria"/>
                        <w:caps/>
                        <w:lang w:val="en-GB" w:eastAsia="en-US"/>
                      </w:rPr>
                      <w:t xml:space="preserve">     </w:t>
                    </w:r>
                  </w:p>
                </w:tc>
              </w:sdtContent>
            </w:sdt>
          </w:tr>
          <w:tr w:rsidR="00984EA4" w:rsidTr="00566F0E">
            <w:trPr>
              <w:trHeight w:val="1440"/>
              <w:jc w:val="center"/>
            </w:trPr>
            <w:sdt>
              <w:sdtPr>
                <w:rPr>
                  <w:rFonts w:ascii="Cambria" w:hAnsi="Cambria"/>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top w:val="nil"/>
                      <w:left w:val="nil"/>
                      <w:bottom w:val="single" w:sz="4" w:space="0" w:color="4F81BD" w:themeColor="accent1"/>
                      <w:right w:val="nil"/>
                    </w:tcBorders>
                    <w:shd w:val="clear" w:color="auto" w:fill="E5DFEC" w:themeFill="accent4" w:themeFillTint="33"/>
                    <w:vAlign w:val="center"/>
                    <w:hideMark/>
                  </w:tcPr>
                  <w:p w:rsidR="00984EA4" w:rsidRDefault="00251437" w:rsidP="00251437">
                    <w:pPr>
                      <w:pStyle w:val="NoSpacing"/>
                      <w:spacing w:line="276" w:lineRule="auto"/>
                      <w:jc w:val="center"/>
                      <w:rPr>
                        <w:rFonts w:ascii="Cambria" w:hAnsi="Cambria"/>
                        <w:sz w:val="80"/>
                        <w:szCs w:val="80"/>
                      </w:rPr>
                    </w:pPr>
                    <w:r>
                      <w:rPr>
                        <w:rFonts w:ascii="Cambria" w:hAnsi="Cambria"/>
                        <w:sz w:val="80"/>
                        <w:szCs w:val="80"/>
                      </w:rPr>
                      <w:t>Nursing Associate</w:t>
                    </w:r>
                    <w:r w:rsidRPr="009125B6">
                      <w:rPr>
                        <w:rFonts w:ascii="Cambria" w:hAnsi="Cambria"/>
                        <w:sz w:val="80"/>
                        <w:szCs w:val="80"/>
                      </w:rPr>
                      <w:t xml:space="preserve"> Education and Training Support Pack</w:t>
                    </w:r>
                  </w:p>
                </w:tc>
              </w:sdtContent>
            </w:sdt>
          </w:tr>
          <w:tr w:rsidR="00984EA4" w:rsidTr="00984EA4">
            <w:trPr>
              <w:trHeight w:val="720"/>
              <w:jc w:val="center"/>
            </w:trPr>
            <w:sdt>
              <w:sdtPr>
                <w:rPr>
                  <w:rFonts w:ascii="Cambria" w:hAnsi="Cambria"/>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left w:val="nil"/>
                      <w:bottom w:val="nil"/>
                      <w:right w:val="nil"/>
                    </w:tcBorders>
                    <w:vAlign w:val="center"/>
                    <w:hideMark/>
                  </w:tcPr>
                  <w:p w:rsidR="00984EA4" w:rsidRDefault="00251437">
                    <w:pPr>
                      <w:pStyle w:val="NoSpacing"/>
                      <w:spacing w:line="276" w:lineRule="auto"/>
                      <w:jc w:val="center"/>
                      <w:rPr>
                        <w:rFonts w:ascii="Cambria" w:hAnsi="Cambria"/>
                        <w:sz w:val="44"/>
                        <w:szCs w:val="44"/>
                      </w:rPr>
                    </w:pPr>
                    <w:r w:rsidRPr="009F312F">
                      <w:rPr>
                        <w:rFonts w:ascii="Cambria" w:hAnsi="Cambria"/>
                        <w:sz w:val="44"/>
                        <w:szCs w:val="44"/>
                      </w:rPr>
                      <w:t>Sub-category of Governance Framework for Training and Education in Primary Care</w:t>
                    </w:r>
                  </w:p>
                </w:tc>
              </w:sdtContent>
            </w:sdt>
          </w:tr>
          <w:tr w:rsidR="00984EA4" w:rsidTr="00984EA4">
            <w:trPr>
              <w:trHeight w:val="360"/>
              <w:jc w:val="center"/>
            </w:trPr>
            <w:tc>
              <w:tcPr>
                <w:tcW w:w="5000" w:type="pct"/>
                <w:vAlign w:val="center"/>
              </w:tcPr>
              <w:p w:rsidR="00984EA4" w:rsidRDefault="00984EA4">
                <w:pPr>
                  <w:pStyle w:val="NoSpacing"/>
                  <w:spacing w:line="276" w:lineRule="auto"/>
                  <w:jc w:val="center"/>
                </w:pPr>
              </w:p>
            </w:tc>
          </w:tr>
          <w:tr w:rsidR="00984EA4" w:rsidTr="00984EA4">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hideMark/>
                  </w:tcPr>
                  <w:p w:rsidR="00984EA4" w:rsidRDefault="00984EA4">
                    <w:pPr>
                      <w:pStyle w:val="NoSpacing"/>
                      <w:spacing w:line="276" w:lineRule="auto"/>
                      <w:jc w:val="center"/>
                      <w:rPr>
                        <w:b/>
                        <w:bCs/>
                      </w:rPr>
                    </w:pPr>
                    <w:r>
                      <w:rPr>
                        <w:b/>
                        <w:bCs/>
                        <w:lang w:val="en-GB"/>
                      </w:rPr>
                      <w:t>Heather Glover</w:t>
                    </w:r>
                    <w:r w:rsidR="00251437">
                      <w:rPr>
                        <w:b/>
                        <w:bCs/>
                        <w:lang w:val="en-GB"/>
                      </w:rPr>
                      <w:t xml:space="preserve"> Cheshire Training Hub</w:t>
                    </w:r>
                  </w:p>
                </w:tc>
              </w:sdtContent>
            </w:sdt>
          </w:tr>
          <w:tr w:rsidR="00984EA4" w:rsidTr="00984EA4">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20-06-05T00:00:00Z">
                  <w:dateFormat w:val="M/d/yyyy"/>
                  <w:lid w:val="en-US"/>
                  <w:storeMappedDataAs w:val="dateTime"/>
                  <w:calendar w:val="gregorian"/>
                </w:date>
              </w:sdtPr>
              <w:sdtEndPr/>
              <w:sdtContent>
                <w:tc>
                  <w:tcPr>
                    <w:tcW w:w="5000" w:type="pct"/>
                    <w:vAlign w:val="center"/>
                    <w:hideMark/>
                  </w:tcPr>
                  <w:p w:rsidR="00984EA4" w:rsidRDefault="00251437">
                    <w:pPr>
                      <w:pStyle w:val="NoSpacing"/>
                      <w:spacing w:line="276" w:lineRule="auto"/>
                      <w:jc w:val="center"/>
                      <w:rPr>
                        <w:b/>
                        <w:bCs/>
                      </w:rPr>
                    </w:pPr>
                    <w:r>
                      <w:rPr>
                        <w:b/>
                        <w:bCs/>
                      </w:rPr>
                      <w:t>6/5/2020</w:t>
                    </w:r>
                  </w:p>
                </w:tc>
              </w:sdtContent>
            </w:sdt>
          </w:tr>
        </w:tbl>
        <w:p w:rsidR="00984EA4" w:rsidRDefault="00984EA4" w:rsidP="00984EA4"/>
        <w:tbl>
          <w:tblPr>
            <w:tblpPr w:leftFromText="187" w:rightFromText="187" w:bottomFromText="200" w:horzAnchor="margin" w:tblpXSpec="center" w:tblpYSpec="bottom"/>
            <w:tblW w:w="5000" w:type="pct"/>
            <w:tblLook w:val="04A0" w:firstRow="1" w:lastRow="0" w:firstColumn="1" w:lastColumn="0" w:noHBand="0" w:noVBand="1"/>
          </w:tblPr>
          <w:tblGrid>
            <w:gridCol w:w="9242"/>
          </w:tblGrid>
          <w:tr w:rsidR="00984EA4" w:rsidTr="00984EA4">
            <w:tc>
              <w:tcPr>
                <w:tcW w:w="5000" w:type="pct"/>
                <w:hideMark/>
              </w:tcPr>
              <w:p w:rsidR="00984EA4" w:rsidRPr="00F3693E" w:rsidRDefault="0064562E" w:rsidP="00F3693E">
                <w:pPr>
                  <w:pStyle w:val="NoSpacing"/>
                  <w:spacing w:line="276" w:lineRule="auto"/>
                  <w:rPr>
                    <w:rFonts w:asciiTheme="minorHAnsi" w:hAnsiTheme="minorHAnsi" w:cstheme="minorHAnsi"/>
                  </w:rPr>
                </w:pPr>
                <w:sdt>
                  <w:sdtPr>
                    <w:rPr>
                      <w:rFonts w:asciiTheme="minorHAnsi" w:hAnsiTheme="minorHAnsi" w:cstheme="minorHAnsi"/>
                    </w:rPr>
                    <w:alias w:val="Abstract"/>
                    <w:id w:val="8276291"/>
                    <w:dataBinding w:prefixMappings="xmlns:ns0='http://schemas.microsoft.com/office/2006/coverPageProps'" w:xpath="/ns0:CoverPageProperties[1]/ns0:Abstract[1]" w:storeItemID="{55AF091B-3C7A-41E3-B477-F2FDAA23CFDA}"/>
                    <w:text/>
                  </w:sdtPr>
                  <w:sdtEndPr/>
                  <w:sdtContent>
                    <w:r w:rsidR="00F3693E" w:rsidRPr="00F3693E">
                      <w:rPr>
                        <w:rFonts w:asciiTheme="minorHAnsi" w:hAnsiTheme="minorHAnsi" w:cstheme="minorHAnsi"/>
                      </w:rPr>
                      <w:t xml:space="preserve"> The Nursing Associate role is regulated by the Nursing and Midwifery Council (NMC), and </w:t>
                    </w:r>
                  </w:sdtContent>
                </w:sdt>
                <w:r w:rsidR="00F3693E" w:rsidRPr="00F3693E">
                  <w:rPr>
                    <w:rFonts w:asciiTheme="minorHAnsi" w:hAnsiTheme="minorHAnsi" w:cstheme="minorHAnsi"/>
                    <w:lang w:val="en-GB"/>
                  </w:rPr>
                  <w:t>is a new support role in England that bridges the gap between healthcare support workers and registered nurses. It will increase the capacity of general practice nursing (GPNs) teams and is a vital part of the wider primary care team and aims to support the career progression of healthcare assistants; enable nurses to focus on more complex clinical work; increase the supply of nurses by providing a progression route into graduate-level nursing.</w:t>
                </w:r>
              </w:p>
            </w:tc>
          </w:tr>
        </w:tbl>
        <w:p w:rsidR="00984EA4" w:rsidRDefault="00984EA4" w:rsidP="00984EA4">
          <w:pPr>
            <w:rPr>
              <w:b/>
              <w:sz w:val="24"/>
            </w:rPr>
          </w:pPr>
          <w:r>
            <w:rPr>
              <w:b/>
              <w:sz w:val="24"/>
            </w:rPr>
            <w:t xml:space="preserve">Page </w:t>
          </w:r>
          <w:r w:rsidR="00F3693E">
            <w:rPr>
              <w:b/>
              <w:sz w:val="24"/>
            </w:rPr>
            <w:t>2</w:t>
          </w:r>
          <w:r>
            <w:rPr>
              <w:b/>
              <w:sz w:val="24"/>
            </w:rPr>
            <w:t>. Introduction</w:t>
          </w:r>
        </w:p>
        <w:p w:rsidR="00984EA4" w:rsidRDefault="00984EA4" w:rsidP="00984EA4">
          <w:pPr>
            <w:rPr>
              <w:b/>
              <w:sz w:val="24"/>
            </w:rPr>
          </w:pPr>
          <w:r>
            <w:rPr>
              <w:b/>
              <w:sz w:val="24"/>
            </w:rPr>
            <w:t xml:space="preserve">Page 2. </w:t>
          </w:r>
          <w:r w:rsidR="00BC0EFA" w:rsidRPr="00BC0EFA">
            <w:rPr>
              <w:b/>
              <w:sz w:val="24"/>
            </w:rPr>
            <w:t>NMC Standards for the Nursing Associate</w:t>
          </w:r>
        </w:p>
        <w:p w:rsidR="00BC0EFA" w:rsidRDefault="00F3693E" w:rsidP="00984EA4">
          <w:pPr>
            <w:rPr>
              <w:b/>
              <w:sz w:val="24"/>
            </w:rPr>
          </w:pPr>
          <w:r>
            <w:rPr>
              <w:b/>
              <w:sz w:val="24"/>
            </w:rPr>
            <w:t>Page 3</w:t>
          </w:r>
          <w:r w:rsidR="00984EA4">
            <w:rPr>
              <w:b/>
              <w:sz w:val="24"/>
            </w:rPr>
            <w:t xml:space="preserve">. </w:t>
          </w:r>
          <w:r w:rsidR="00BC0EFA" w:rsidRPr="00BC0EFA">
            <w:rPr>
              <w:b/>
              <w:sz w:val="24"/>
            </w:rPr>
            <w:t xml:space="preserve">Continued Professional Development </w:t>
          </w:r>
        </w:p>
        <w:p w:rsidR="00984EA4" w:rsidRDefault="00F3693E" w:rsidP="00984EA4">
          <w:pPr>
            <w:rPr>
              <w:b/>
              <w:sz w:val="24"/>
            </w:rPr>
          </w:pPr>
          <w:r>
            <w:rPr>
              <w:b/>
              <w:sz w:val="24"/>
            </w:rPr>
            <w:t>Page 3</w:t>
          </w:r>
          <w:r w:rsidR="00984EA4">
            <w:rPr>
              <w:b/>
              <w:sz w:val="24"/>
            </w:rPr>
            <w:t>. Career Progression</w:t>
          </w:r>
        </w:p>
        <w:p w:rsidR="00984EA4" w:rsidRDefault="00984EA4" w:rsidP="00984EA4">
          <w:pPr>
            <w:rPr>
              <w:b/>
              <w:sz w:val="28"/>
              <w:szCs w:val="24"/>
              <w:u w:val="single"/>
            </w:rPr>
          </w:pPr>
          <w:r>
            <w:rPr>
              <w:b/>
              <w:sz w:val="24"/>
            </w:rPr>
            <w:t xml:space="preserve">Page </w:t>
          </w:r>
          <w:r w:rsidR="00F3693E">
            <w:rPr>
              <w:b/>
              <w:sz w:val="24"/>
            </w:rPr>
            <w:t>3</w:t>
          </w:r>
          <w:r>
            <w:rPr>
              <w:b/>
              <w:sz w:val="24"/>
            </w:rPr>
            <w:t>. Professional Development Table</w:t>
          </w:r>
          <w:r>
            <w:rPr>
              <w:b/>
              <w:sz w:val="28"/>
              <w:szCs w:val="24"/>
              <w:u w:val="single"/>
            </w:rPr>
            <w:br w:type="page"/>
          </w:r>
        </w:p>
      </w:sdtContent>
    </w:sdt>
    <w:p w:rsidR="00984EA4" w:rsidRDefault="00984EA4" w:rsidP="00984EA4">
      <w:pPr>
        <w:jc w:val="center"/>
        <w:rPr>
          <w:b/>
          <w:sz w:val="28"/>
          <w:szCs w:val="24"/>
          <w:u w:val="single"/>
        </w:rPr>
      </w:pPr>
      <w:r>
        <w:rPr>
          <w:b/>
          <w:sz w:val="28"/>
          <w:szCs w:val="24"/>
          <w:u w:val="single"/>
        </w:rPr>
        <w:lastRenderedPageBreak/>
        <w:t>Nurse Associate Education and Training Support Pack</w:t>
      </w:r>
    </w:p>
    <w:p w:rsidR="00984EA4" w:rsidRDefault="00984EA4" w:rsidP="00984EA4">
      <w:pPr>
        <w:rPr>
          <w:b/>
          <w:sz w:val="28"/>
          <w:szCs w:val="24"/>
          <w:u w:val="single"/>
        </w:rPr>
      </w:pPr>
    </w:p>
    <w:p w:rsidR="00984EA4" w:rsidRDefault="00984EA4" w:rsidP="00984EA4">
      <w:pPr>
        <w:rPr>
          <w:b/>
          <w:sz w:val="28"/>
          <w:szCs w:val="24"/>
          <w:u w:val="single"/>
        </w:rPr>
      </w:pPr>
      <w:r>
        <w:rPr>
          <w:b/>
          <w:sz w:val="28"/>
          <w:szCs w:val="24"/>
          <w:u w:val="single"/>
        </w:rPr>
        <w:t>Introduction</w:t>
      </w:r>
    </w:p>
    <w:p w:rsidR="00984EA4" w:rsidRDefault="00984EA4" w:rsidP="00984EA4">
      <w:r>
        <w:t xml:space="preserve">From 2018, through the development of a </w:t>
      </w:r>
      <w:hyperlink r:id="rId9" w:history="1">
        <w:r>
          <w:rPr>
            <w:rStyle w:val="Hyperlink"/>
          </w:rPr>
          <w:t>Primary Care Academy</w:t>
        </w:r>
      </w:hyperlink>
      <w:r>
        <w:t xml:space="preserve"> (PCA), the 5 Training Hubs in Cheshire and Merseyside have been working collaboratively.  The Locality </w:t>
      </w:r>
      <w:hyperlink r:id="rId10" w:tgtFrame="_blank" w:history="1">
        <w:r>
          <w:rPr>
            <w:rStyle w:val="Hyperlink"/>
            <w:rFonts w:cs="Calibri"/>
            <w:color w:val="0000FF"/>
            <w:shd w:val="clear" w:color="auto" w:fill="FFFFFF"/>
          </w:rPr>
          <w:t xml:space="preserve">Training Hubs </w:t>
        </w:r>
      </w:hyperlink>
      <w:r>
        <w:rPr>
          <w:rFonts w:cs="Calibri"/>
          <w:color w:val="0000FF"/>
          <w:shd w:val="clear" w:color="auto" w:fill="FFFFFF"/>
        </w:rPr>
        <w:t xml:space="preserve"> </w:t>
      </w:r>
      <w:r>
        <w:rPr>
          <w:rFonts w:cs="Calibri"/>
          <w:shd w:val="clear" w:color="auto" w:fill="FFFFFF"/>
        </w:rPr>
        <w:t>are a resource of</w:t>
      </w:r>
      <w:r>
        <w:t xml:space="preserve"> further information and guidance for each of the primary care networks, in order to engage and develop their workforce to ensure future success and sustainability. The purpose of this training support pack is to guide and direct practice managers and employees, and assist in the successful development of the growing number of roles within primary care.</w:t>
      </w:r>
    </w:p>
    <w:p w:rsidR="00251437" w:rsidRDefault="00251437" w:rsidP="00251437">
      <w:pPr>
        <w:contextualSpacing/>
        <w:rPr>
          <w:szCs w:val="24"/>
        </w:rPr>
      </w:pPr>
      <w:r w:rsidRPr="00251437">
        <w:rPr>
          <w:szCs w:val="24"/>
        </w:rPr>
        <w:t xml:space="preserve">The nursing associate </w:t>
      </w:r>
      <w:r w:rsidR="00E70812">
        <w:rPr>
          <w:szCs w:val="24"/>
        </w:rPr>
        <w:t xml:space="preserve">(NA) </w:t>
      </w:r>
      <w:r w:rsidRPr="00251437">
        <w:rPr>
          <w:szCs w:val="24"/>
        </w:rPr>
        <w:t xml:space="preserve">is a new support role in England that bridges the gap between healthcare support workers and registered nurses to deliver hands-on, person-centred care as part of the nursing team. </w:t>
      </w:r>
      <w:r w:rsidR="00E70812">
        <w:rPr>
          <w:szCs w:val="24"/>
        </w:rPr>
        <w:t>NAs</w:t>
      </w:r>
      <w:r w:rsidRPr="00251437">
        <w:rPr>
          <w:szCs w:val="24"/>
        </w:rPr>
        <w:t xml:space="preserve"> work with people of all ages in a variety of settings in health and social care.</w:t>
      </w:r>
      <w:r w:rsidRPr="00251437">
        <w:t xml:space="preserve"> </w:t>
      </w:r>
      <w:r w:rsidRPr="00251437">
        <w:rPr>
          <w:szCs w:val="24"/>
        </w:rPr>
        <w:t xml:space="preserve">It </w:t>
      </w:r>
      <w:r>
        <w:rPr>
          <w:szCs w:val="24"/>
        </w:rPr>
        <w:t>is</w:t>
      </w:r>
      <w:r w:rsidRPr="00251437">
        <w:rPr>
          <w:szCs w:val="24"/>
        </w:rPr>
        <w:t xml:space="preserve"> a vital part of the wider </w:t>
      </w:r>
      <w:r>
        <w:rPr>
          <w:szCs w:val="24"/>
        </w:rPr>
        <w:t xml:space="preserve">primary care team and aims to </w:t>
      </w:r>
      <w:r w:rsidRPr="00251437">
        <w:rPr>
          <w:szCs w:val="24"/>
        </w:rPr>
        <w:t>support the career progression of healthcare assistants</w:t>
      </w:r>
      <w:r>
        <w:rPr>
          <w:szCs w:val="24"/>
        </w:rPr>
        <w:t xml:space="preserve">; </w:t>
      </w:r>
      <w:r w:rsidRPr="00251437">
        <w:rPr>
          <w:szCs w:val="24"/>
        </w:rPr>
        <w:t>enable nurses to focus on more complex clinical work</w:t>
      </w:r>
      <w:r>
        <w:rPr>
          <w:szCs w:val="24"/>
        </w:rPr>
        <w:t xml:space="preserve">; </w:t>
      </w:r>
      <w:r w:rsidRPr="00251437">
        <w:rPr>
          <w:szCs w:val="24"/>
        </w:rPr>
        <w:t>increase the supply of nurses by providing a progression route into graduate-level nursing.</w:t>
      </w:r>
    </w:p>
    <w:p w:rsidR="00251437" w:rsidRDefault="00251437" w:rsidP="00251437">
      <w:pPr>
        <w:contextualSpacing/>
        <w:rPr>
          <w:szCs w:val="24"/>
        </w:rPr>
      </w:pPr>
    </w:p>
    <w:p w:rsidR="00E70812" w:rsidRDefault="00251437" w:rsidP="00E70812">
      <w:pPr>
        <w:rPr>
          <w:szCs w:val="24"/>
        </w:rPr>
      </w:pPr>
      <w:r>
        <w:rPr>
          <w:szCs w:val="24"/>
        </w:rPr>
        <w:t xml:space="preserve">The benefits of the NA role, not only for the employee but also the employer, include </w:t>
      </w:r>
      <w:r w:rsidRPr="00251437">
        <w:rPr>
          <w:szCs w:val="24"/>
        </w:rPr>
        <w:t>improved service delivery and patient care</w:t>
      </w:r>
      <w:r>
        <w:rPr>
          <w:szCs w:val="24"/>
        </w:rPr>
        <w:t xml:space="preserve">, </w:t>
      </w:r>
      <w:r w:rsidRPr="00251437">
        <w:rPr>
          <w:szCs w:val="24"/>
        </w:rPr>
        <w:t>improved staff retention through career progression</w:t>
      </w:r>
      <w:r>
        <w:rPr>
          <w:szCs w:val="24"/>
        </w:rPr>
        <w:t xml:space="preserve">, </w:t>
      </w:r>
      <w:r w:rsidRPr="00251437">
        <w:rPr>
          <w:szCs w:val="24"/>
        </w:rPr>
        <w:t>the ability to ‘grow your own’ nursing workforce</w:t>
      </w:r>
      <w:r>
        <w:rPr>
          <w:szCs w:val="24"/>
        </w:rPr>
        <w:t xml:space="preserve"> and </w:t>
      </w:r>
      <w:r w:rsidRPr="00251437">
        <w:rPr>
          <w:szCs w:val="24"/>
        </w:rPr>
        <w:t>investing in a tried and tested training programme, accredited by the NMC.</w:t>
      </w:r>
      <w:r w:rsidR="00E70812">
        <w:rPr>
          <w:szCs w:val="24"/>
        </w:rPr>
        <w:t xml:space="preserve"> </w:t>
      </w:r>
      <w:r w:rsidR="00E70812" w:rsidRPr="00E70812">
        <w:rPr>
          <w:szCs w:val="24"/>
        </w:rPr>
        <w:t xml:space="preserve">They will increase the capacity of general practice nursing (GPNs) teams. As a response to the growing demands in Primary Care, </w:t>
      </w:r>
      <w:r w:rsidR="00E70812">
        <w:rPr>
          <w:szCs w:val="24"/>
        </w:rPr>
        <w:t>GPNs</w:t>
      </w:r>
      <w:r w:rsidR="00E70812" w:rsidRPr="00E70812">
        <w:rPr>
          <w:szCs w:val="24"/>
        </w:rPr>
        <w:t xml:space="preserve"> are embracing some activities traditionally the domain of GPs</w:t>
      </w:r>
      <w:r w:rsidR="00E70812">
        <w:rPr>
          <w:szCs w:val="24"/>
        </w:rPr>
        <w:t xml:space="preserve">, </w:t>
      </w:r>
      <w:r w:rsidR="00E70812" w:rsidRPr="00E70812">
        <w:rPr>
          <w:szCs w:val="24"/>
        </w:rPr>
        <w:t xml:space="preserve">such as prescribing, treating minor illness and managing long term conditions. </w:t>
      </w:r>
      <w:r w:rsidR="00F3693E">
        <w:rPr>
          <w:szCs w:val="24"/>
        </w:rPr>
        <w:t>NAs</w:t>
      </w:r>
      <w:r w:rsidR="00E70812" w:rsidRPr="00E70812">
        <w:rPr>
          <w:szCs w:val="24"/>
        </w:rPr>
        <w:t xml:space="preserve"> will be well placed to help with some of the routine work of GPNs</w:t>
      </w:r>
      <w:r w:rsidR="00E70812">
        <w:rPr>
          <w:szCs w:val="24"/>
        </w:rPr>
        <w:t xml:space="preserve"> and m</w:t>
      </w:r>
      <w:r w:rsidR="00E70812" w:rsidRPr="00E70812">
        <w:rPr>
          <w:szCs w:val="24"/>
        </w:rPr>
        <w:t>any general practice HCAs are keen to embar</w:t>
      </w:r>
      <w:r w:rsidR="00E70812">
        <w:rPr>
          <w:szCs w:val="24"/>
        </w:rPr>
        <w:t xml:space="preserve">k on Nursing Associate training, </w:t>
      </w:r>
    </w:p>
    <w:p w:rsidR="004571B0" w:rsidRDefault="004571B0" w:rsidP="004571B0">
      <w:pPr>
        <w:rPr>
          <w:szCs w:val="24"/>
        </w:rPr>
      </w:pPr>
      <w:r w:rsidRPr="004571B0">
        <w:rPr>
          <w:szCs w:val="24"/>
        </w:rPr>
        <w:t xml:space="preserve">The </w:t>
      </w:r>
      <w:r w:rsidR="00E70812">
        <w:rPr>
          <w:szCs w:val="24"/>
        </w:rPr>
        <w:t>NA</w:t>
      </w:r>
      <w:r w:rsidRPr="004571B0">
        <w:rPr>
          <w:szCs w:val="24"/>
        </w:rPr>
        <w:t xml:space="preserve"> role is regulated by the Nursing and Midwifery Council (NMC).</w:t>
      </w:r>
      <w:r>
        <w:rPr>
          <w:szCs w:val="24"/>
        </w:rPr>
        <w:t xml:space="preserve"> </w:t>
      </w:r>
      <w:r w:rsidRPr="004571B0">
        <w:rPr>
          <w:szCs w:val="24"/>
        </w:rPr>
        <w:t xml:space="preserve">To become a registered </w:t>
      </w:r>
      <w:r w:rsidR="00E70812">
        <w:rPr>
          <w:szCs w:val="24"/>
        </w:rPr>
        <w:t>NA</w:t>
      </w:r>
      <w:r w:rsidRPr="004571B0">
        <w:rPr>
          <w:szCs w:val="24"/>
        </w:rPr>
        <w:t>, individuals must pass a foundation degree awarded by an NMC-approved provider, typically taken over two years. The programme includes both academic and work-based learning and prepares trainees to work with people of all ages and in a variety of settings in health and social care.</w:t>
      </w:r>
    </w:p>
    <w:p w:rsidR="00BC0EFA" w:rsidRDefault="00BC0EFA" w:rsidP="004571B0">
      <w:pPr>
        <w:rPr>
          <w:b/>
          <w:sz w:val="28"/>
          <w:szCs w:val="28"/>
          <w:u w:val="single"/>
        </w:rPr>
      </w:pPr>
    </w:p>
    <w:p w:rsidR="00151BC8" w:rsidRDefault="00151BC8" w:rsidP="004571B0">
      <w:r>
        <w:rPr>
          <w:b/>
          <w:sz w:val="28"/>
          <w:szCs w:val="28"/>
          <w:u w:val="single"/>
        </w:rPr>
        <w:t>NMC Standards for the Nursing Associate</w:t>
      </w:r>
    </w:p>
    <w:p w:rsidR="00151BC8" w:rsidRDefault="00151BC8" w:rsidP="00151BC8">
      <w:r>
        <w:t xml:space="preserve">The standards of proficiency for </w:t>
      </w:r>
      <w:r w:rsidR="00E70812">
        <w:t>NAs</w:t>
      </w:r>
      <w:r>
        <w:t xml:space="preserve"> were developed to apply across all health and care settings. They serve a number of different purposes. They are important in order to provide clarity</w:t>
      </w:r>
      <w:r w:rsidR="00E70812">
        <w:t xml:space="preserve"> to</w:t>
      </w:r>
      <w:r>
        <w:t xml:space="preserve"> </w:t>
      </w:r>
      <w:r w:rsidR="00E70812">
        <w:t>NA</w:t>
      </w:r>
      <w:r>
        <w:t xml:space="preserve">s about their role, and to provide clarity on what knowledge and skills other health and care professionals can reasonably expect from </w:t>
      </w:r>
      <w:r w:rsidR="00E70812">
        <w:t>them</w:t>
      </w:r>
      <w:r>
        <w:t xml:space="preserve">. </w:t>
      </w:r>
      <w:r w:rsidR="004C4311">
        <w:t>The standards a</w:t>
      </w:r>
      <w:r>
        <w:t xml:space="preserve">llow education institutions to develop and deliver programmes that give </w:t>
      </w:r>
      <w:r w:rsidR="004C4311">
        <w:t>students</w:t>
      </w:r>
      <w:r>
        <w:t xml:space="preserve"> the skills, knowledge and behaviours to meet these standards when they qualify.</w:t>
      </w:r>
      <w:r w:rsidR="00E70812">
        <w:t xml:space="preserve"> </w:t>
      </w:r>
    </w:p>
    <w:p w:rsidR="00E70812" w:rsidRDefault="00E70812" w:rsidP="00151BC8">
      <w:r>
        <w:t>The r</w:t>
      </w:r>
      <w:r w:rsidRPr="00E70812">
        <w:t xml:space="preserve">egulation </w:t>
      </w:r>
      <w:r>
        <w:t xml:space="preserve">of NAs </w:t>
      </w:r>
      <w:r w:rsidRPr="00E70812">
        <w:t>includes registration, revalidation and fitness to practise. This is of clear benefit to patients, Nursing Associates and employers.</w:t>
      </w:r>
    </w:p>
    <w:p w:rsidR="00984EA4" w:rsidRDefault="00984EA4" w:rsidP="00984EA4">
      <w:pPr>
        <w:rPr>
          <w:b/>
          <w:sz w:val="28"/>
          <w:u w:val="single"/>
        </w:rPr>
      </w:pPr>
      <w:r>
        <w:rPr>
          <w:b/>
          <w:sz w:val="28"/>
          <w:u w:val="single"/>
        </w:rPr>
        <w:lastRenderedPageBreak/>
        <w:t>Continued Professional Development</w:t>
      </w:r>
    </w:p>
    <w:p w:rsidR="00E70812" w:rsidRDefault="00984EA4" w:rsidP="00E70812">
      <w:r>
        <w:t>Continued professional development has multiple determining factors. Training maybe required as a result of Statutory and Mandatory regulations, specific to a role, for CQC requirements or business need and best practice. More recently, the ways in which we work and learn has been heavily influenced by Covid-19 with much emphasis being placed on the virtual working / learning environment.</w:t>
      </w:r>
      <w:r w:rsidR="00E70812" w:rsidRPr="00E70812">
        <w:t xml:space="preserve"> </w:t>
      </w:r>
    </w:p>
    <w:p w:rsidR="00E70812" w:rsidRDefault="00E70812" w:rsidP="00E70812">
      <w:r>
        <w:t>With continued professional development, NAs will provide additional capacity within the nursing team. This might be in areas such as contributing to cervical cytology screening, meeting quality and outcomes framework targets and management of long-term conditions. Having additional capacity to meet patient need will be a welcome addition to the</w:t>
      </w:r>
      <w:r w:rsidR="00BC0EFA">
        <w:t xml:space="preserve"> primary care</w:t>
      </w:r>
      <w:r>
        <w:t xml:space="preserve"> team.</w:t>
      </w:r>
      <w:r w:rsidR="00BC0EFA">
        <w:t xml:space="preserve"> </w:t>
      </w:r>
      <w:r>
        <w:t>Supporting development of a Nursing Associate provides an opportunity to shape and mould an</w:t>
      </w:r>
      <w:r w:rsidR="00BC0EFA">
        <w:t xml:space="preserve"> </w:t>
      </w:r>
      <w:r>
        <w:t xml:space="preserve">individual to fit into a </w:t>
      </w:r>
      <w:r w:rsidR="00BC0EFA">
        <w:t>d</w:t>
      </w:r>
      <w:r>
        <w:t>eveloping team.</w:t>
      </w:r>
    </w:p>
    <w:p w:rsidR="00984EA4" w:rsidRDefault="00984EA4" w:rsidP="00984EA4">
      <w:pPr>
        <w:rPr>
          <w:b/>
          <w:sz w:val="28"/>
          <w:u w:val="single"/>
        </w:rPr>
      </w:pPr>
      <w:r>
        <w:rPr>
          <w:b/>
          <w:sz w:val="28"/>
          <w:u w:val="single"/>
        </w:rPr>
        <w:t>Career Progression</w:t>
      </w:r>
    </w:p>
    <w:p w:rsidR="00984EA4" w:rsidRDefault="00BC0EFA" w:rsidP="00984EA4">
      <w:r>
        <w:t>There are defined differences between registered nurses and nursing associates and these are clearly stated in the NMC</w:t>
      </w:r>
      <w:r w:rsidRPr="00BC0EFA">
        <w:t xml:space="preserve"> standards </w:t>
      </w:r>
      <w:r>
        <w:t>for Proficiency of Nursing Associates. These standards</w:t>
      </w:r>
      <w:r w:rsidRPr="00BC0EFA">
        <w:t xml:space="preserve"> also include the pathway that </w:t>
      </w:r>
      <w:r>
        <w:t>NAs</w:t>
      </w:r>
      <w:r w:rsidRPr="00BC0EFA">
        <w:t xml:space="preserve"> will be able to undertake to become a graduate Registered Nurse. This pathway will enable many existing health and care workers to access a career in nursing which would have previously been out of reach.</w:t>
      </w:r>
    </w:p>
    <w:tbl>
      <w:tblPr>
        <w:tblStyle w:val="TableGrid"/>
        <w:tblW w:w="4813" w:type="pct"/>
        <w:tblInd w:w="0" w:type="dxa"/>
        <w:tblLayout w:type="fixed"/>
        <w:tblLook w:val="04A0" w:firstRow="1" w:lastRow="0" w:firstColumn="1" w:lastColumn="0" w:noHBand="0" w:noVBand="1"/>
      </w:tblPr>
      <w:tblGrid>
        <w:gridCol w:w="3794"/>
        <w:gridCol w:w="1417"/>
        <w:gridCol w:w="732"/>
        <w:gridCol w:w="2389"/>
        <w:gridCol w:w="564"/>
      </w:tblGrid>
      <w:tr w:rsidR="00BC0EFA" w:rsidTr="00BC0EFA">
        <w:trPr>
          <w:cantSplit/>
          <w:trHeight w:val="1614"/>
        </w:trPr>
        <w:tc>
          <w:tcPr>
            <w:tcW w:w="2132" w:type="pct"/>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hideMark/>
          </w:tcPr>
          <w:p w:rsidR="00BC0EFA" w:rsidRDefault="00BC0EFA">
            <w:pPr>
              <w:ind w:left="113" w:right="113"/>
              <w:rPr>
                <w:b/>
                <w:sz w:val="16"/>
              </w:rPr>
            </w:pPr>
            <w:r>
              <w:rPr>
                <w:b/>
                <w:color w:val="FFFFFF" w:themeColor="background1"/>
                <w:sz w:val="20"/>
              </w:rPr>
              <w:t>General Practice Nurse Training &amp; Professional Development</w:t>
            </w:r>
          </w:p>
        </w:tc>
        <w:tc>
          <w:tcPr>
            <w:tcW w:w="796" w:type="pct"/>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hideMark/>
          </w:tcPr>
          <w:p w:rsidR="00BC0EFA" w:rsidRDefault="00BC0EFA">
            <w:pPr>
              <w:ind w:left="113" w:right="113"/>
              <w:rPr>
                <w:b/>
                <w:color w:val="FFFFFF" w:themeColor="background1"/>
                <w:sz w:val="20"/>
              </w:rPr>
            </w:pPr>
            <w:r>
              <w:rPr>
                <w:b/>
                <w:color w:val="FFFFFF" w:themeColor="background1"/>
                <w:sz w:val="20"/>
              </w:rPr>
              <w:t>Frequency</w:t>
            </w:r>
          </w:p>
        </w:tc>
        <w:tc>
          <w:tcPr>
            <w:tcW w:w="411" w:type="pct"/>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hideMark/>
          </w:tcPr>
          <w:p w:rsidR="00BC0EFA" w:rsidRDefault="00BC0EFA">
            <w:pPr>
              <w:ind w:left="113" w:right="113"/>
              <w:rPr>
                <w:b/>
                <w:color w:val="FFFFFF" w:themeColor="background1"/>
                <w:sz w:val="18"/>
              </w:rPr>
            </w:pPr>
            <w:r>
              <w:rPr>
                <w:b/>
                <w:color w:val="FFFFFF" w:themeColor="background1"/>
                <w:sz w:val="18"/>
              </w:rPr>
              <w:t>Face to Face training</w:t>
            </w:r>
          </w:p>
        </w:tc>
        <w:tc>
          <w:tcPr>
            <w:tcW w:w="1343" w:type="pct"/>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tcPr>
          <w:p w:rsidR="00BC0EFA" w:rsidRDefault="00BC0EFA">
            <w:pPr>
              <w:ind w:left="113" w:right="113"/>
              <w:rPr>
                <w:b/>
                <w:color w:val="FFFFFF" w:themeColor="background1"/>
                <w:sz w:val="16"/>
                <w:szCs w:val="16"/>
              </w:rPr>
            </w:pPr>
            <w:r>
              <w:rPr>
                <w:b/>
                <w:color w:val="FFFFFF" w:themeColor="background1"/>
                <w:sz w:val="16"/>
                <w:szCs w:val="16"/>
              </w:rPr>
              <w:t>Available Online learning provider</w:t>
            </w:r>
          </w:p>
          <w:p w:rsidR="00BC0EFA" w:rsidRDefault="0064562E">
            <w:pPr>
              <w:ind w:left="113" w:right="113"/>
              <w:rPr>
                <w:b/>
                <w:color w:val="FFFFFF" w:themeColor="background1"/>
                <w:sz w:val="16"/>
                <w:szCs w:val="16"/>
              </w:rPr>
            </w:pPr>
            <w:hyperlink r:id="rId11" w:history="1">
              <w:r w:rsidR="00BC0EFA">
                <w:rPr>
                  <w:rStyle w:val="Hyperlink"/>
                  <w:b/>
                  <w:color w:val="FFFFFF" w:themeColor="background1"/>
                  <w:sz w:val="16"/>
                  <w:szCs w:val="16"/>
                </w:rPr>
                <w:t>Relias</w:t>
              </w:r>
            </w:hyperlink>
          </w:p>
          <w:p w:rsidR="00BC0EFA" w:rsidRDefault="0064562E">
            <w:pPr>
              <w:ind w:left="113" w:right="113"/>
              <w:rPr>
                <w:rFonts w:cs="Calibri"/>
                <w:b/>
                <w:color w:val="FFFFFF" w:themeColor="background1"/>
                <w:sz w:val="14"/>
                <w:szCs w:val="20"/>
              </w:rPr>
            </w:pPr>
            <w:hyperlink r:id="rId12" w:tgtFrame="_blank" w:history="1">
              <w:r w:rsidR="00BC0EFA">
                <w:rPr>
                  <w:rStyle w:val="Hyperlink"/>
                  <w:rFonts w:cs="Calibri"/>
                  <w:b/>
                  <w:color w:val="FFFFFF" w:themeColor="background1"/>
                  <w:sz w:val="14"/>
                  <w:szCs w:val="20"/>
                </w:rPr>
                <w:t>E-Learning for Health</w:t>
              </w:r>
            </w:hyperlink>
          </w:p>
          <w:p w:rsidR="00BC0EFA" w:rsidRDefault="0064562E">
            <w:pPr>
              <w:ind w:left="113" w:right="113"/>
              <w:rPr>
                <w:b/>
                <w:color w:val="FFFFFF" w:themeColor="background1"/>
                <w:sz w:val="16"/>
                <w:szCs w:val="16"/>
              </w:rPr>
            </w:pPr>
            <w:hyperlink r:id="rId13" w:history="1">
              <w:r w:rsidR="00BC0EFA">
                <w:rPr>
                  <w:rStyle w:val="Hyperlink"/>
                  <w:b/>
                  <w:color w:val="FFFFFF" w:themeColor="background1"/>
                  <w:sz w:val="16"/>
                  <w:szCs w:val="16"/>
                </w:rPr>
                <w:t>Bluestream Academy</w:t>
              </w:r>
            </w:hyperlink>
          </w:p>
          <w:p w:rsidR="00BC0EFA" w:rsidRDefault="0064562E">
            <w:pPr>
              <w:ind w:left="113" w:right="113"/>
              <w:rPr>
                <w:b/>
                <w:color w:val="FFFFFF" w:themeColor="background1"/>
                <w:sz w:val="16"/>
                <w:szCs w:val="16"/>
              </w:rPr>
            </w:pPr>
            <w:hyperlink r:id="rId14" w:history="1">
              <w:r w:rsidR="00BC0EFA">
                <w:rPr>
                  <w:rStyle w:val="Hyperlink"/>
                  <w:b/>
                  <w:color w:val="FFFFFF" w:themeColor="background1"/>
                  <w:sz w:val="16"/>
                  <w:szCs w:val="16"/>
                </w:rPr>
                <w:t>Skills for Health</w:t>
              </w:r>
            </w:hyperlink>
          </w:p>
          <w:p w:rsidR="00BC0EFA" w:rsidRDefault="0064562E">
            <w:pPr>
              <w:ind w:left="113" w:right="113"/>
              <w:rPr>
                <w:b/>
                <w:color w:val="FFFFFF" w:themeColor="background1"/>
                <w:sz w:val="16"/>
                <w:szCs w:val="16"/>
              </w:rPr>
            </w:pPr>
            <w:hyperlink r:id="rId15" w:history="1">
              <w:r w:rsidR="00BC0EFA">
                <w:rPr>
                  <w:rStyle w:val="Hyperlink"/>
                  <w:b/>
                  <w:color w:val="FFFFFF" w:themeColor="background1"/>
                  <w:sz w:val="16"/>
                  <w:szCs w:val="16"/>
                </w:rPr>
                <w:t>Green Book Immunisations</w:t>
              </w:r>
            </w:hyperlink>
          </w:p>
          <w:p w:rsidR="00BC0EFA" w:rsidRDefault="0064562E">
            <w:pPr>
              <w:ind w:left="113" w:right="113"/>
              <w:rPr>
                <w:b/>
                <w:color w:val="FFFFFF" w:themeColor="background1"/>
                <w:sz w:val="16"/>
                <w:szCs w:val="16"/>
              </w:rPr>
            </w:pPr>
            <w:hyperlink r:id="rId16" w:history="1">
              <w:r w:rsidR="00BC0EFA">
                <w:rPr>
                  <w:rStyle w:val="Hyperlink"/>
                  <w:b/>
                  <w:color w:val="FFFFFF" w:themeColor="background1"/>
                  <w:sz w:val="16"/>
                  <w:szCs w:val="16"/>
                </w:rPr>
                <w:t>Public Health &amp; Immunisation</w:t>
              </w:r>
            </w:hyperlink>
          </w:p>
          <w:p w:rsidR="00BC0EFA" w:rsidRDefault="00BC0EFA">
            <w:pPr>
              <w:ind w:left="113" w:right="113"/>
              <w:rPr>
                <w:b/>
                <w:color w:val="FFFFFF" w:themeColor="background1"/>
                <w:sz w:val="16"/>
                <w:szCs w:val="16"/>
              </w:rPr>
            </w:pPr>
          </w:p>
        </w:tc>
        <w:tc>
          <w:tcPr>
            <w:tcW w:w="317" w:type="pct"/>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hideMark/>
          </w:tcPr>
          <w:p w:rsidR="00BC0EFA" w:rsidRDefault="00BC0EFA">
            <w:pPr>
              <w:ind w:left="113" w:right="113"/>
              <w:rPr>
                <w:b/>
                <w:color w:val="FFFFFF" w:themeColor="background1"/>
                <w:sz w:val="16"/>
              </w:rPr>
            </w:pPr>
            <w:r>
              <w:rPr>
                <w:b/>
                <w:color w:val="FFFFFF" w:themeColor="background1"/>
                <w:sz w:val="16"/>
              </w:rPr>
              <w:t>Nursing Associate</w:t>
            </w:r>
          </w:p>
        </w:tc>
      </w:tr>
      <w:tr w:rsidR="00BC0EFA" w:rsidTr="00BC0EFA">
        <w:tc>
          <w:tcPr>
            <w:tcW w:w="2132" w:type="pct"/>
            <w:tcBorders>
              <w:top w:val="single" w:sz="4" w:space="0" w:color="auto"/>
              <w:left w:val="single" w:sz="4" w:space="0" w:color="auto"/>
              <w:bottom w:val="single" w:sz="4" w:space="0" w:color="auto"/>
              <w:right w:val="single" w:sz="4" w:space="0" w:color="auto"/>
            </w:tcBorders>
            <w:hideMark/>
          </w:tcPr>
          <w:p w:rsidR="00BC0EFA" w:rsidRDefault="00BC0EFA">
            <w:pPr>
              <w:ind w:right="113"/>
              <w:rPr>
                <w:sz w:val="18"/>
                <w:szCs w:val="20"/>
              </w:rPr>
            </w:pPr>
            <w:r>
              <w:rPr>
                <w:b/>
                <w:sz w:val="18"/>
                <w:szCs w:val="20"/>
              </w:rPr>
              <w:t>Immunisation Training</w:t>
            </w:r>
            <w:r>
              <w:rPr>
                <w:sz w:val="18"/>
                <w:szCs w:val="20"/>
              </w:rPr>
              <w:t xml:space="preserve"> - Initial course</w:t>
            </w:r>
          </w:p>
        </w:tc>
        <w:tc>
          <w:tcPr>
            <w:tcW w:w="796" w:type="pct"/>
            <w:tcBorders>
              <w:top w:val="single" w:sz="4" w:space="0" w:color="auto"/>
              <w:left w:val="single" w:sz="4" w:space="0" w:color="auto"/>
              <w:bottom w:val="single" w:sz="4" w:space="0" w:color="auto"/>
              <w:right w:val="single" w:sz="4" w:space="0" w:color="auto"/>
            </w:tcBorders>
            <w:hideMark/>
          </w:tcPr>
          <w:p w:rsidR="00BC0EFA" w:rsidRDefault="00BC0EFA">
            <w:pPr>
              <w:rPr>
                <w:sz w:val="16"/>
              </w:rPr>
            </w:pPr>
            <w:r>
              <w:rPr>
                <w:sz w:val="16"/>
              </w:rPr>
              <w:t>Once</w:t>
            </w:r>
          </w:p>
        </w:tc>
        <w:tc>
          <w:tcPr>
            <w:tcW w:w="411" w:type="pct"/>
            <w:tcBorders>
              <w:top w:val="single" w:sz="4" w:space="0" w:color="auto"/>
              <w:left w:val="single" w:sz="4" w:space="0" w:color="auto"/>
              <w:bottom w:val="single" w:sz="4" w:space="0" w:color="auto"/>
              <w:right w:val="single" w:sz="4" w:space="0" w:color="auto"/>
            </w:tcBorders>
            <w:hideMark/>
          </w:tcPr>
          <w:p w:rsidR="00BC0EFA" w:rsidRDefault="00BC0EFA">
            <w:r>
              <w:t>√</w:t>
            </w:r>
          </w:p>
        </w:tc>
        <w:tc>
          <w:tcPr>
            <w:tcW w:w="1343" w:type="pct"/>
            <w:tcBorders>
              <w:top w:val="single" w:sz="4" w:space="0" w:color="auto"/>
              <w:left w:val="single" w:sz="4" w:space="0" w:color="auto"/>
              <w:bottom w:val="single" w:sz="4" w:space="0" w:color="auto"/>
              <w:right w:val="single" w:sz="4" w:space="0" w:color="auto"/>
            </w:tcBorders>
          </w:tcPr>
          <w:p w:rsidR="00BC0EFA" w:rsidRDefault="00BC0EFA">
            <w:pPr>
              <w:rPr>
                <w:sz w:val="18"/>
              </w:rPr>
            </w:pPr>
          </w:p>
        </w:tc>
        <w:tc>
          <w:tcPr>
            <w:tcW w:w="317" w:type="pct"/>
            <w:tcBorders>
              <w:top w:val="single" w:sz="4" w:space="0" w:color="auto"/>
              <w:left w:val="single" w:sz="4" w:space="0" w:color="auto"/>
              <w:bottom w:val="single" w:sz="4" w:space="0" w:color="auto"/>
              <w:right w:val="single" w:sz="4" w:space="0" w:color="auto"/>
            </w:tcBorders>
            <w:hideMark/>
          </w:tcPr>
          <w:p w:rsidR="00BC0EFA" w:rsidRDefault="00BC0EFA">
            <w:r>
              <w:t>√</w:t>
            </w:r>
          </w:p>
        </w:tc>
      </w:tr>
      <w:tr w:rsidR="00BC0EFA" w:rsidTr="00BC0EFA">
        <w:tc>
          <w:tcPr>
            <w:tcW w:w="2132" w:type="pct"/>
            <w:tcBorders>
              <w:top w:val="single" w:sz="4" w:space="0" w:color="auto"/>
              <w:left w:val="single" w:sz="4" w:space="0" w:color="auto"/>
              <w:bottom w:val="single" w:sz="4" w:space="0" w:color="auto"/>
              <w:right w:val="single" w:sz="4" w:space="0" w:color="auto"/>
            </w:tcBorders>
            <w:hideMark/>
          </w:tcPr>
          <w:p w:rsidR="00BC0EFA" w:rsidRDefault="00BC0EFA" w:rsidP="003C1336">
            <w:pPr>
              <w:pStyle w:val="ListParagraph"/>
              <w:numPr>
                <w:ilvl w:val="0"/>
                <w:numId w:val="2"/>
              </w:numPr>
              <w:ind w:left="1843" w:right="113" w:hanging="425"/>
              <w:rPr>
                <w:sz w:val="18"/>
                <w:szCs w:val="20"/>
              </w:rPr>
            </w:pPr>
            <w:r>
              <w:rPr>
                <w:sz w:val="18"/>
                <w:szCs w:val="20"/>
              </w:rPr>
              <w:t>Update training</w:t>
            </w:r>
          </w:p>
        </w:tc>
        <w:tc>
          <w:tcPr>
            <w:tcW w:w="796" w:type="pct"/>
            <w:tcBorders>
              <w:top w:val="single" w:sz="4" w:space="0" w:color="auto"/>
              <w:left w:val="single" w:sz="4" w:space="0" w:color="auto"/>
              <w:bottom w:val="single" w:sz="4" w:space="0" w:color="auto"/>
              <w:right w:val="single" w:sz="4" w:space="0" w:color="auto"/>
            </w:tcBorders>
            <w:hideMark/>
          </w:tcPr>
          <w:p w:rsidR="00BC0EFA" w:rsidRDefault="00BC0EFA">
            <w:pPr>
              <w:rPr>
                <w:sz w:val="16"/>
              </w:rPr>
            </w:pPr>
            <w:r>
              <w:rPr>
                <w:sz w:val="16"/>
              </w:rPr>
              <w:t>Annual</w:t>
            </w:r>
          </w:p>
        </w:tc>
        <w:tc>
          <w:tcPr>
            <w:tcW w:w="411" w:type="pct"/>
            <w:tcBorders>
              <w:top w:val="single" w:sz="4" w:space="0" w:color="auto"/>
              <w:left w:val="single" w:sz="4" w:space="0" w:color="auto"/>
              <w:bottom w:val="single" w:sz="4" w:space="0" w:color="auto"/>
              <w:right w:val="single" w:sz="4" w:space="0" w:color="auto"/>
            </w:tcBorders>
            <w:hideMark/>
          </w:tcPr>
          <w:p w:rsidR="00BC0EFA" w:rsidRDefault="00BC0EFA">
            <w:r>
              <w:t>√</w:t>
            </w:r>
          </w:p>
        </w:tc>
        <w:tc>
          <w:tcPr>
            <w:tcW w:w="1343" w:type="pct"/>
            <w:tcBorders>
              <w:top w:val="single" w:sz="4" w:space="0" w:color="auto"/>
              <w:left w:val="single" w:sz="4" w:space="0" w:color="auto"/>
              <w:bottom w:val="single" w:sz="4" w:space="0" w:color="auto"/>
              <w:right w:val="single" w:sz="4" w:space="0" w:color="auto"/>
            </w:tcBorders>
            <w:hideMark/>
          </w:tcPr>
          <w:p w:rsidR="00BC0EFA" w:rsidRDefault="00BC0EFA">
            <w:pPr>
              <w:rPr>
                <w:sz w:val="18"/>
              </w:rPr>
            </w:pPr>
            <w:r>
              <w:rPr>
                <w:sz w:val="18"/>
              </w:rPr>
              <w:t>Available online see above</w:t>
            </w:r>
          </w:p>
        </w:tc>
        <w:tc>
          <w:tcPr>
            <w:tcW w:w="317" w:type="pct"/>
            <w:tcBorders>
              <w:top w:val="single" w:sz="4" w:space="0" w:color="auto"/>
              <w:left w:val="single" w:sz="4" w:space="0" w:color="auto"/>
              <w:bottom w:val="single" w:sz="4" w:space="0" w:color="auto"/>
              <w:right w:val="single" w:sz="4" w:space="0" w:color="auto"/>
            </w:tcBorders>
            <w:hideMark/>
          </w:tcPr>
          <w:p w:rsidR="00BC0EFA" w:rsidRDefault="00BC0EFA">
            <w:r>
              <w:t>√</w:t>
            </w:r>
          </w:p>
        </w:tc>
      </w:tr>
      <w:tr w:rsidR="00BC0EFA" w:rsidTr="00BC0EFA">
        <w:tc>
          <w:tcPr>
            <w:tcW w:w="2132" w:type="pct"/>
            <w:tcBorders>
              <w:top w:val="single" w:sz="4" w:space="0" w:color="auto"/>
              <w:left w:val="single" w:sz="4" w:space="0" w:color="auto"/>
              <w:bottom w:val="single" w:sz="4" w:space="0" w:color="auto"/>
              <w:right w:val="single" w:sz="4" w:space="0" w:color="auto"/>
            </w:tcBorders>
            <w:hideMark/>
          </w:tcPr>
          <w:p w:rsidR="00BC0EFA" w:rsidRDefault="00BC0EFA">
            <w:pPr>
              <w:ind w:right="113"/>
              <w:rPr>
                <w:sz w:val="18"/>
                <w:szCs w:val="20"/>
              </w:rPr>
            </w:pPr>
            <w:r>
              <w:rPr>
                <w:b/>
                <w:sz w:val="18"/>
                <w:szCs w:val="20"/>
              </w:rPr>
              <w:t>Clinical Excellence in Ear Care</w:t>
            </w:r>
            <w:r>
              <w:rPr>
                <w:sz w:val="18"/>
                <w:szCs w:val="20"/>
              </w:rPr>
              <w:t xml:space="preserve"> – Initial course</w:t>
            </w:r>
          </w:p>
        </w:tc>
        <w:tc>
          <w:tcPr>
            <w:tcW w:w="796" w:type="pct"/>
            <w:tcBorders>
              <w:top w:val="single" w:sz="4" w:space="0" w:color="auto"/>
              <w:left w:val="single" w:sz="4" w:space="0" w:color="auto"/>
              <w:bottom w:val="single" w:sz="4" w:space="0" w:color="auto"/>
              <w:right w:val="single" w:sz="4" w:space="0" w:color="auto"/>
            </w:tcBorders>
            <w:hideMark/>
          </w:tcPr>
          <w:p w:rsidR="00BC0EFA" w:rsidRDefault="00BC0EFA">
            <w:pPr>
              <w:rPr>
                <w:sz w:val="16"/>
              </w:rPr>
            </w:pPr>
            <w:r>
              <w:rPr>
                <w:sz w:val="16"/>
              </w:rPr>
              <w:t>Once</w:t>
            </w:r>
          </w:p>
        </w:tc>
        <w:tc>
          <w:tcPr>
            <w:tcW w:w="411" w:type="pct"/>
            <w:tcBorders>
              <w:top w:val="single" w:sz="4" w:space="0" w:color="auto"/>
              <w:left w:val="single" w:sz="4" w:space="0" w:color="auto"/>
              <w:bottom w:val="single" w:sz="4" w:space="0" w:color="auto"/>
              <w:right w:val="single" w:sz="4" w:space="0" w:color="auto"/>
            </w:tcBorders>
            <w:hideMark/>
          </w:tcPr>
          <w:p w:rsidR="00BC0EFA" w:rsidRDefault="00BC0EFA">
            <w:r>
              <w:t>√</w:t>
            </w:r>
          </w:p>
        </w:tc>
        <w:tc>
          <w:tcPr>
            <w:tcW w:w="1343" w:type="pct"/>
            <w:tcBorders>
              <w:top w:val="single" w:sz="4" w:space="0" w:color="auto"/>
              <w:left w:val="single" w:sz="4" w:space="0" w:color="auto"/>
              <w:bottom w:val="single" w:sz="4" w:space="0" w:color="auto"/>
              <w:right w:val="single" w:sz="4" w:space="0" w:color="auto"/>
            </w:tcBorders>
          </w:tcPr>
          <w:p w:rsidR="00BC0EFA" w:rsidRDefault="00BC0EFA">
            <w:pPr>
              <w:rPr>
                <w:sz w:val="18"/>
              </w:rPr>
            </w:pPr>
          </w:p>
        </w:tc>
        <w:tc>
          <w:tcPr>
            <w:tcW w:w="317" w:type="pct"/>
            <w:tcBorders>
              <w:top w:val="single" w:sz="4" w:space="0" w:color="auto"/>
              <w:left w:val="single" w:sz="4" w:space="0" w:color="auto"/>
              <w:bottom w:val="single" w:sz="4" w:space="0" w:color="auto"/>
              <w:right w:val="single" w:sz="4" w:space="0" w:color="auto"/>
            </w:tcBorders>
            <w:hideMark/>
          </w:tcPr>
          <w:p w:rsidR="00BC0EFA" w:rsidRDefault="00BC0EFA">
            <w:r>
              <w:t>√</w:t>
            </w:r>
          </w:p>
        </w:tc>
      </w:tr>
      <w:tr w:rsidR="00BC0EFA" w:rsidTr="00BC0EFA">
        <w:tc>
          <w:tcPr>
            <w:tcW w:w="2132" w:type="pct"/>
            <w:tcBorders>
              <w:top w:val="single" w:sz="4" w:space="0" w:color="auto"/>
              <w:left w:val="single" w:sz="4" w:space="0" w:color="auto"/>
              <w:bottom w:val="single" w:sz="4" w:space="0" w:color="auto"/>
              <w:right w:val="single" w:sz="4" w:space="0" w:color="auto"/>
            </w:tcBorders>
            <w:hideMark/>
          </w:tcPr>
          <w:p w:rsidR="00BC0EFA" w:rsidRDefault="00BC0EFA" w:rsidP="003C1336">
            <w:pPr>
              <w:pStyle w:val="ListParagraph"/>
              <w:numPr>
                <w:ilvl w:val="0"/>
                <w:numId w:val="3"/>
              </w:numPr>
              <w:ind w:left="1843" w:right="113" w:hanging="425"/>
              <w:rPr>
                <w:sz w:val="18"/>
                <w:szCs w:val="20"/>
              </w:rPr>
            </w:pPr>
            <w:r>
              <w:rPr>
                <w:sz w:val="18"/>
                <w:szCs w:val="20"/>
              </w:rPr>
              <w:t>Update training</w:t>
            </w:r>
          </w:p>
        </w:tc>
        <w:tc>
          <w:tcPr>
            <w:tcW w:w="796" w:type="pct"/>
            <w:tcBorders>
              <w:top w:val="single" w:sz="4" w:space="0" w:color="auto"/>
              <w:left w:val="single" w:sz="4" w:space="0" w:color="auto"/>
              <w:bottom w:val="single" w:sz="4" w:space="0" w:color="auto"/>
              <w:right w:val="single" w:sz="4" w:space="0" w:color="auto"/>
            </w:tcBorders>
            <w:hideMark/>
          </w:tcPr>
          <w:p w:rsidR="00BC0EFA" w:rsidRDefault="00BC0EFA">
            <w:pPr>
              <w:rPr>
                <w:sz w:val="16"/>
              </w:rPr>
            </w:pPr>
            <w:r>
              <w:rPr>
                <w:sz w:val="16"/>
              </w:rPr>
              <w:t>3 years</w:t>
            </w:r>
          </w:p>
        </w:tc>
        <w:tc>
          <w:tcPr>
            <w:tcW w:w="411" w:type="pct"/>
            <w:tcBorders>
              <w:top w:val="single" w:sz="4" w:space="0" w:color="auto"/>
              <w:left w:val="single" w:sz="4" w:space="0" w:color="auto"/>
              <w:bottom w:val="single" w:sz="4" w:space="0" w:color="auto"/>
              <w:right w:val="single" w:sz="4" w:space="0" w:color="auto"/>
            </w:tcBorders>
          </w:tcPr>
          <w:p w:rsidR="00BC0EFA" w:rsidRDefault="00BC0EFA"/>
        </w:tc>
        <w:tc>
          <w:tcPr>
            <w:tcW w:w="1343" w:type="pct"/>
            <w:tcBorders>
              <w:top w:val="single" w:sz="4" w:space="0" w:color="auto"/>
              <w:left w:val="single" w:sz="4" w:space="0" w:color="auto"/>
              <w:bottom w:val="single" w:sz="4" w:space="0" w:color="auto"/>
              <w:right w:val="single" w:sz="4" w:space="0" w:color="auto"/>
            </w:tcBorders>
          </w:tcPr>
          <w:p w:rsidR="00BC0EFA" w:rsidRDefault="00BC0EFA">
            <w:pPr>
              <w:rPr>
                <w:sz w:val="18"/>
              </w:rPr>
            </w:pPr>
          </w:p>
        </w:tc>
        <w:tc>
          <w:tcPr>
            <w:tcW w:w="317" w:type="pct"/>
            <w:tcBorders>
              <w:top w:val="single" w:sz="4" w:space="0" w:color="auto"/>
              <w:left w:val="single" w:sz="4" w:space="0" w:color="auto"/>
              <w:bottom w:val="single" w:sz="4" w:space="0" w:color="auto"/>
              <w:right w:val="single" w:sz="4" w:space="0" w:color="auto"/>
            </w:tcBorders>
            <w:hideMark/>
          </w:tcPr>
          <w:p w:rsidR="00BC0EFA" w:rsidRDefault="00BC0EFA">
            <w:r>
              <w:t>√</w:t>
            </w:r>
          </w:p>
        </w:tc>
      </w:tr>
      <w:tr w:rsidR="00BC0EFA" w:rsidTr="00BC0EFA">
        <w:tc>
          <w:tcPr>
            <w:tcW w:w="2132" w:type="pct"/>
            <w:tcBorders>
              <w:top w:val="single" w:sz="4" w:space="0" w:color="auto"/>
              <w:left w:val="single" w:sz="4" w:space="0" w:color="auto"/>
              <w:bottom w:val="single" w:sz="4" w:space="0" w:color="auto"/>
              <w:right w:val="single" w:sz="4" w:space="0" w:color="auto"/>
            </w:tcBorders>
            <w:hideMark/>
          </w:tcPr>
          <w:p w:rsidR="00BC0EFA" w:rsidRDefault="00BC0EFA">
            <w:pPr>
              <w:ind w:right="113"/>
              <w:rPr>
                <w:sz w:val="18"/>
                <w:szCs w:val="20"/>
              </w:rPr>
            </w:pPr>
            <w:r>
              <w:rPr>
                <w:b/>
                <w:sz w:val="18"/>
                <w:szCs w:val="20"/>
              </w:rPr>
              <w:t>Cytology</w:t>
            </w:r>
            <w:r>
              <w:rPr>
                <w:sz w:val="18"/>
                <w:szCs w:val="20"/>
              </w:rPr>
              <w:t xml:space="preserve"> - Initial course</w:t>
            </w:r>
          </w:p>
        </w:tc>
        <w:tc>
          <w:tcPr>
            <w:tcW w:w="796" w:type="pct"/>
            <w:tcBorders>
              <w:top w:val="single" w:sz="4" w:space="0" w:color="auto"/>
              <w:left w:val="single" w:sz="4" w:space="0" w:color="auto"/>
              <w:bottom w:val="single" w:sz="4" w:space="0" w:color="auto"/>
              <w:right w:val="single" w:sz="4" w:space="0" w:color="auto"/>
            </w:tcBorders>
            <w:hideMark/>
          </w:tcPr>
          <w:p w:rsidR="00BC0EFA" w:rsidRDefault="00BC0EFA">
            <w:pPr>
              <w:rPr>
                <w:sz w:val="16"/>
              </w:rPr>
            </w:pPr>
            <w:r>
              <w:rPr>
                <w:sz w:val="16"/>
              </w:rPr>
              <w:t>Once</w:t>
            </w:r>
          </w:p>
        </w:tc>
        <w:tc>
          <w:tcPr>
            <w:tcW w:w="411" w:type="pct"/>
            <w:tcBorders>
              <w:top w:val="single" w:sz="4" w:space="0" w:color="auto"/>
              <w:left w:val="single" w:sz="4" w:space="0" w:color="auto"/>
              <w:bottom w:val="single" w:sz="4" w:space="0" w:color="auto"/>
              <w:right w:val="single" w:sz="4" w:space="0" w:color="auto"/>
            </w:tcBorders>
            <w:hideMark/>
          </w:tcPr>
          <w:p w:rsidR="00BC0EFA" w:rsidRDefault="00BC0EFA">
            <w:r>
              <w:t>√</w:t>
            </w:r>
          </w:p>
        </w:tc>
        <w:tc>
          <w:tcPr>
            <w:tcW w:w="1343" w:type="pct"/>
            <w:tcBorders>
              <w:top w:val="single" w:sz="4" w:space="0" w:color="auto"/>
              <w:left w:val="single" w:sz="4" w:space="0" w:color="auto"/>
              <w:bottom w:val="single" w:sz="4" w:space="0" w:color="auto"/>
              <w:right w:val="single" w:sz="4" w:space="0" w:color="auto"/>
            </w:tcBorders>
          </w:tcPr>
          <w:p w:rsidR="00BC0EFA" w:rsidRDefault="00BC0EFA">
            <w:pPr>
              <w:rPr>
                <w:sz w:val="18"/>
              </w:rPr>
            </w:pPr>
          </w:p>
        </w:tc>
        <w:tc>
          <w:tcPr>
            <w:tcW w:w="317" w:type="pct"/>
            <w:tcBorders>
              <w:top w:val="single" w:sz="4" w:space="0" w:color="auto"/>
              <w:left w:val="single" w:sz="4" w:space="0" w:color="auto"/>
              <w:bottom w:val="single" w:sz="4" w:space="0" w:color="auto"/>
              <w:right w:val="single" w:sz="4" w:space="0" w:color="auto"/>
            </w:tcBorders>
            <w:hideMark/>
          </w:tcPr>
          <w:p w:rsidR="00BC0EFA" w:rsidRDefault="00BC0EFA">
            <w:r>
              <w:t>√</w:t>
            </w:r>
          </w:p>
        </w:tc>
      </w:tr>
      <w:tr w:rsidR="00BC0EFA" w:rsidTr="00BC0EFA">
        <w:tc>
          <w:tcPr>
            <w:tcW w:w="2132" w:type="pct"/>
            <w:tcBorders>
              <w:top w:val="single" w:sz="4" w:space="0" w:color="auto"/>
              <w:left w:val="single" w:sz="4" w:space="0" w:color="auto"/>
              <w:bottom w:val="single" w:sz="4" w:space="0" w:color="auto"/>
              <w:right w:val="single" w:sz="4" w:space="0" w:color="auto"/>
            </w:tcBorders>
            <w:hideMark/>
          </w:tcPr>
          <w:p w:rsidR="00BC0EFA" w:rsidRDefault="00BC0EFA" w:rsidP="003C1336">
            <w:pPr>
              <w:pStyle w:val="ListParagraph"/>
              <w:numPr>
                <w:ilvl w:val="0"/>
                <w:numId w:val="3"/>
              </w:numPr>
              <w:ind w:left="1843" w:right="113"/>
              <w:rPr>
                <w:sz w:val="18"/>
                <w:szCs w:val="20"/>
              </w:rPr>
            </w:pPr>
            <w:r>
              <w:rPr>
                <w:sz w:val="18"/>
                <w:szCs w:val="20"/>
              </w:rPr>
              <w:t>Update training</w:t>
            </w:r>
          </w:p>
        </w:tc>
        <w:tc>
          <w:tcPr>
            <w:tcW w:w="796" w:type="pct"/>
            <w:tcBorders>
              <w:top w:val="single" w:sz="4" w:space="0" w:color="auto"/>
              <w:left w:val="single" w:sz="4" w:space="0" w:color="auto"/>
              <w:bottom w:val="single" w:sz="4" w:space="0" w:color="auto"/>
              <w:right w:val="single" w:sz="4" w:space="0" w:color="auto"/>
            </w:tcBorders>
            <w:hideMark/>
          </w:tcPr>
          <w:p w:rsidR="00BC0EFA" w:rsidRDefault="00BC0EFA">
            <w:pPr>
              <w:rPr>
                <w:sz w:val="16"/>
              </w:rPr>
            </w:pPr>
            <w:r>
              <w:rPr>
                <w:sz w:val="16"/>
              </w:rPr>
              <w:t>3 years</w:t>
            </w:r>
          </w:p>
        </w:tc>
        <w:tc>
          <w:tcPr>
            <w:tcW w:w="411" w:type="pct"/>
            <w:tcBorders>
              <w:top w:val="single" w:sz="4" w:space="0" w:color="auto"/>
              <w:left w:val="single" w:sz="4" w:space="0" w:color="auto"/>
              <w:bottom w:val="single" w:sz="4" w:space="0" w:color="auto"/>
              <w:right w:val="single" w:sz="4" w:space="0" w:color="auto"/>
            </w:tcBorders>
          </w:tcPr>
          <w:p w:rsidR="00BC0EFA" w:rsidRDefault="00BC0EFA"/>
        </w:tc>
        <w:tc>
          <w:tcPr>
            <w:tcW w:w="1343" w:type="pct"/>
            <w:tcBorders>
              <w:top w:val="single" w:sz="4" w:space="0" w:color="auto"/>
              <w:left w:val="single" w:sz="4" w:space="0" w:color="auto"/>
              <w:bottom w:val="single" w:sz="4" w:space="0" w:color="auto"/>
              <w:right w:val="single" w:sz="4" w:space="0" w:color="auto"/>
            </w:tcBorders>
            <w:hideMark/>
          </w:tcPr>
          <w:p w:rsidR="00BC0EFA" w:rsidRDefault="00BC0EFA">
            <w:pPr>
              <w:rPr>
                <w:sz w:val="18"/>
              </w:rPr>
            </w:pPr>
            <w:r>
              <w:rPr>
                <w:sz w:val="18"/>
              </w:rPr>
              <w:t>Available online see above</w:t>
            </w:r>
          </w:p>
        </w:tc>
        <w:tc>
          <w:tcPr>
            <w:tcW w:w="317" w:type="pct"/>
            <w:tcBorders>
              <w:top w:val="single" w:sz="4" w:space="0" w:color="auto"/>
              <w:left w:val="single" w:sz="4" w:space="0" w:color="auto"/>
              <w:bottom w:val="single" w:sz="4" w:space="0" w:color="auto"/>
              <w:right w:val="single" w:sz="4" w:space="0" w:color="auto"/>
            </w:tcBorders>
            <w:hideMark/>
          </w:tcPr>
          <w:p w:rsidR="00BC0EFA" w:rsidRDefault="00BC0EFA">
            <w:r>
              <w:t>√</w:t>
            </w:r>
          </w:p>
        </w:tc>
      </w:tr>
      <w:tr w:rsidR="00BC0EFA" w:rsidTr="00BC0EFA">
        <w:tc>
          <w:tcPr>
            <w:tcW w:w="2132" w:type="pct"/>
            <w:tcBorders>
              <w:top w:val="single" w:sz="4" w:space="0" w:color="auto"/>
              <w:left w:val="single" w:sz="4" w:space="0" w:color="auto"/>
              <w:bottom w:val="single" w:sz="4" w:space="0" w:color="auto"/>
              <w:right w:val="single" w:sz="4" w:space="0" w:color="auto"/>
            </w:tcBorders>
            <w:hideMark/>
          </w:tcPr>
          <w:p w:rsidR="00BC0EFA" w:rsidRDefault="00BC0EFA">
            <w:pPr>
              <w:ind w:right="113"/>
              <w:rPr>
                <w:sz w:val="18"/>
                <w:szCs w:val="20"/>
              </w:rPr>
            </w:pPr>
            <w:r>
              <w:rPr>
                <w:b/>
                <w:sz w:val="18"/>
                <w:szCs w:val="20"/>
              </w:rPr>
              <w:t>Venepuncture -</w:t>
            </w:r>
            <w:r>
              <w:rPr>
                <w:sz w:val="18"/>
                <w:szCs w:val="20"/>
              </w:rPr>
              <w:t xml:space="preserve"> Initial course</w:t>
            </w:r>
          </w:p>
        </w:tc>
        <w:tc>
          <w:tcPr>
            <w:tcW w:w="796" w:type="pct"/>
            <w:tcBorders>
              <w:top w:val="single" w:sz="4" w:space="0" w:color="auto"/>
              <w:left w:val="single" w:sz="4" w:space="0" w:color="auto"/>
              <w:bottom w:val="single" w:sz="4" w:space="0" w:color="auto"/>
              <w:right w:val="single" w:sz="4" w:space="0" w:color="auto"/>
            </w:tcBorders>
            <w:hideMark/>
          </w:tcPr>
          <w:p w:rsidR="00BC0EFA" w:rsidRDefault="00BC0EFA">
            <w:pPr>
              <w:rPr>
                <w:sz w:val="16"/>
              </w:rPr>
            </w:pPr>
            <w:r>
              <w:rPr>
                <w:sz w:val="16"/>
              </w:rPr>
              <w:t>Once</w:t>
            </w:r>
          </w:p>
        </w:tc>
        <w:tc>
          <w:tcPr>
            <w:tcW w:w="411" w:type="pct"/>
            <w:tcBorders>
              <w:top w:val="single" w:sz="4" w:space="0" w:color="auto"/>
              <w:left w:val="single" w:sz="4" w:space="0" w:color="auto"/>
              <w:bottom w:val="single" w:sz="4" w:space="0" w:color="auto"/>
              <w:right w:val="single" w:sz="4" w:space="0" w:color="auto"/>
            </w:tcBorders>
            <w:hideMark/>
          </w:tcPr>
          <w:p w:rsidR="00BC0EFA" w:rsidRDefault="00BC0EFA">
            <w:r>
              <w:t>√</w:t>
            </w:r>
          </w:p>
        </w:tc>
        <w:tc>
          <w:tcPr>
            <w:tcW w:w="1343" w:type="pct"/>
            <w:tcBorders>
              <w:top w:val="single" w:sz="4" w:space="0" w:color="auto"/>
              <w:left w:val="single" w:sz="4" w:space="0" w:color="auto"/>
              <w:bottom w:val="single" w:sz="4" w:space="0" w:color="auto"/>
              <w:right w:val="single" w:sz="4" w:space="0" w:color="auto"/>
            </w:tcBorders>
          </w:tcPr>
          <w:p w:rsidR="00BC0EFA" w:rsidRDefault="00BC0EFA">
            <w:pPr>
              <w:rPr>
                <w:sz w:val="18"/>
              </w:rPr>
            </w:pPr>
          </w:p>
        </w:tc>
        <w:tc>
          <w:tcPr>
            <w:tcW w:w="317" w:type="pct"/>
            <w:tcBorders>
              <w:top w:val="single" w:sz="4" w:space="0" w:color="auto"/>
              <w:left w:val="single" w:sz="4" w:space="0" w:color="auto"/>
              <w:bottom w:val="single" w:sz="4" w:space="0" w:color="auto"/>
              <w:right w:val="single" w:sz="4" w:space="0" w:color="auto"/>
            </w:tcBorders>
            <w:hideMark/>
          </w:tcPr>
          <w:p w:rsidR="00BC0EFA" w:rsidRDefault="00BC0EFA">
            <w:r>
              <w:t>√</w:t>
            </w:r>
          </w:p>
        </w:tc>
      </w:tr>
      <w:tr w:rsidR="00BC0EFA" w:rsidTr="00BC0EFA">
        <w:tc>
          <w:tcPr>
            <w:tcW w:w="2132" w:type="pct"/>
            <w:tcBorders>
              <w:top w:val="single" w:sz="4" w:space="0" w:color="auto"/>
              <w:left w:val="single" w:sz="4" w:space="0" w:color="auto"/>
              <w:bottom w:val="single" w:sz="4" w:space="0" w:color="auto"/>
              <w:right w:val="single" w:sz="4" w:space="0" w:color="auto"/>
            </w:tcBorders>
            <w:hideMark/>
          </w:tcPr>
          <w:p w:rsidR="00BC0EFA" w:rsidRDefault="00BC0EFA" w:rsidP="003C1336">
            <w:pPr>
              <w:pStyle w:val="ListParagraph"/>
              <w:numPr>
                <w:ilvl w:val="0"/>
                <w:numId w:val="3"/>
              </w:numPr>
              <w:ind w:left="1843" w:right="113"/>
              <w:rPr>
                <w:sz w:val="18"/>
                <w:szCs w:val="20"/>
              </w:rPr>
            </w:pPr>
            <w:r>
              <w:rPr>
                <w:sz w:val="18"/>
                <w:szCs w:val="20"/>
              </w:rPr>
              <w:t>Update training</w:t>
            </w:r>
          </w:p>
        </w:tc>
        <w:tc>
          <w:tcPr>
            <w:tcW w:w="796" w:type="pct"/>
            <w:tcBorders>
              <w:top w:val="single" w:sz="4" w:space="0" w:color="auto"/>
              <w:left w:val="single" w:sz="4" w:space="0" w:color="auto"/>
              <w:bottom w:val="single" w:sz="4" w:space="0" w:color="auto"/>
              <w:right w:val="single" w:sz="4" w:space="0" w:color="auto"/>
            </w:tcBorders>
            <w:hideMark/>
          </w:tcPr>
          <w:p w:rsidR="00BC0EFA" w:rsidRDefault="00BC0EFA">
            <w:pPr>
              <w:rPr>
                <w:sz w:val="16"/>
              </w:rPr>
            </w:pPr>
            <w:r>
              <w:rPr>
                <w:sz w:val="16"/>
              </w:rPr>
              <w:t>3 years</w:t>
            </w:r>
          </w:p>
        </w:tc>
        <w:tc>
          <w:tcPr>
            <w:tcW w:w="411" w:type="pct"/>
            <w:tcBorders>
              <w:top w:val="single" w:sz="4" w:space="0" w:color="auto"/>
              <w:left w:val="single" w:sz="4" w:space="0" w:color="auto"/>
              <w:bottom w:val="single" w:sz="4" w:space="0" w:color="auto"/>
              <w:right w:val="single" w:sz="4" w:space="0" w:color="auto"/>
            </w:tcBorders>
            <w:hideMark/>
          </w:tcPr>
          <w:p w:rsidR="00BC0EFA" w:rsidRDefault="00BC0EFA">
            <w:r>
              <w:t>√</w:t>
            </w:r>
          </w:p>
        </w:tc>
        <w:tc>
          <w:tcPr>
            <w:tcW w:w="1343" w:type="pct"/>
            <w:tcBorders>
              <w:top w:val="single" w:sz="4" w:space="0" w:color="auto"/>
              <w:left w:val="single" w:sz="4" w:space="0" w:color="auto"/>
              <w:bottom w:val="single" w:sz="4" w:space="0" w:color="auto"/>
              <w:right w:val="single" w:sz="4" w:space="0" w:color="auto"/>
            </w:tcBorders>
          </w:tcPr>
          <w:p w:rsidR="00BC0EFA" w:rsidRDefault="00BC0EFA">
            <w:pPr>
              <w:rPr>
                <w:sz w:val="18"/>
              </w:rPr>
            </w:pPr>
          </w:p>
        </w:tc>
        <w:tc>
          <w:tcPr>
            <w:tcW w:w="317" w:type="pct"/>
            <w:tcBorders>
              <w:top w:val="single" w:sz="4" w:space="0" w:color="auto"/>
              <w:left w:val="single" w:sz="4" w:space="0" w:color="auto"/>
              <w:bottom w:val="single" w:sz="4" w:space="0" w:color="auto"/>
              <w:right w:val="single" w:sz="4" w:space="0" w:color="auto"/>
            </w:tcBorders>
            <w:hideMark/>
          </w:tcPr>
          <w:p w:rsidR="00BC0EFA" w:rsidRDefault="00BC0EFA">
            <w:r>
              <w:t>√</w:t>
            </w:r>
          </w:p>
        </w:tc>
      </w:tr>
      <w:tr w:rsidR="00BC0EFA" w:rsidTr="00BC0EFA">
        <w:tc>
          <w:tcPr>
            <w:tcW w:w="2132" w:type="pct"/>
            <w:tcBorders>
              <w:top w:val="single" w:sz="4" w:space="0" w:color="auto"/>
              <w:left w:val="single" w:sz="4" w:space="0" w:color="auto"/>
              <w:bottom w:val="single" w:sz="4" w:space="0" w:color="auto"/>
              <w:right w:val="single" w:sz="4" w:space="0" w:color="auto"/>
            </w:tcBorders>
            <w:hideMark/>
          </w:tcPr>
          <w:p w:rsidR="00BC0EFA" w:rsidRDefault="00BC0EFA">
            <w:pPr>
              <w:pStyle w:val="ListParagraph"/>
              <w:ind w:right="113" w:hanging="720"/>
              <w:rPr>
                <w:b/>
                <w:sz w:val="18"/>
                <w:szCs w:val="20"/>
              </w:rPr>
            </w:pPr>
            <w:r>
              <w:rPr>
                <w:b/>
                <w:sz w:val="18"/>
                <w:szCs w:val="20"/>
              </w:rPr>
              <w:t>Basic Wound Care</w:t>
            </w:r>
          </w:p>
        </w:tc>
        <w:tc>
          <w:tcPr>
            <w:tcW w:w="796" w:type="pct"/>
            <w:tcBorders>
              <w:top w:val="single" w:sz="4" w:space="0" w:color="auto"/>
              <w:left w:val="single" w:sz="4" w:space="0" w:color="auto"/>
              <w:bottom w:val="single" w:sz="4" w:space="0" w:color="auto"/>
              <w:right w:val="single" w:sz="4" w:space="0" w:color="auto"/>
            </w:tcBorders>
            <w:hideMark/>
          </w:tcPr>
          <w:p w:rsidR="00BC0EFA" w:rsidRDefault="00BC0EFA">
            <w:pPr>
              <w:rPr>
                <w:sz w:val="16"/>
              </w:rPr>
            </w:pPr>
            <w:r>
              <w:rPr>
                <w:sz w:val="16"/>
              </w:rPr>
              <w:t>Once</w:t>
            </w:r>
          </w:p>
        </w:tc>
        <w:tc>
          <w:tcPr>
            <w:tcW w:w="411" w:type="pct"/>
            <w:tcBorders>
              <w:top w:val="single" w:sz="4" w:space="0" w:color="auto"/>
              <w:left w:val="single" w:sz="4" w:space="0" w:color="auto"/>
              <w:bottom w:val="single" w:sz="4" w:space="0" w:color="auto"/>
              <w:right w:val="single" w:sz="4" w:space="0" w:color="auto"/>
            </w:tcBorders>
            <w:hideMark/>
          </w:tcPr>
          <w:p w:rsidR="00BC0EFA" w:rsidRDefault="00BC0EFA">
            <w:r>
              <w:t>√</w:t>
            </w:r>
          </w:p>
        </w:tc>
        <w:tc>
          <w:tcPr>
            <w:tcW w:w="1343" w:type="pct"/>
            <w:tcBorders>
              <w:top w:val="single" w:sz="4" w:space="0" w:color="auto"/>
              <w:left w:val="single" w:sz="4" w:space="0" w:color="auto"/>
              <w:bottom w:val="single" w:sz="4" w:space="0" w:color="auto"/>
              <w:right w:val="single" w:sz="4" w:space="0" w:color="auto"/>
            </w:tcBorders>
            <w:hideMark/>
          </w:tcPr>
          <w:p w:rsidR="00BC0EFA" w:rsidRDefault="00BC0EFA">
            <w:pPr>
              <w:rPr>
                <w:sz w:val="18"/>
              </w:rPr>
            </w:pPr>
            <w:r>
              <w:rPr>
                <w:sz w:val="18"/>
              </w:rPr>
              <w:t>Available online see above</w:t>
            </w:r>
          </w:p>
        </w:tc>
        <w:tc>
          <w:tcPr>
            <w:tcW w:w="317" w:type="pct"/>
            <w:tcBorders>
              <w:top w:val="single" w:sz="4" w:space="0" w:color="auto"/>
              <w:left w:val="single" w:sz="4" w:space="0" w:color="auto"/>
              <w:bottom w:val="single" w:sz="4" w:space="0" w:color="auto"/>
              <w:right w:val="single" w:sz="4" w:space="0" w:color="auto"/>
            </w:tcBorders>
            <w:hideMark/>
          </w:tcPr>
          <w:p w:rsidR="00BC0EFA" w:rsidRDefault="00BC0EFA">
            <w:r>
              <w:t>√</w:t>
            </w:r>
          </w:p>
        </w:tc>
      </w:tr>
      <w:tr w:rsidR="00BC0EFA" w:rsidTr="00BC0EFA">
        <w:tc>
          <w:tcPr>
            <w:tcW w:w="2132" w:type="pct"/>
            <w:tcBorders>
              <w:top w:val="single" w:sz="4" w:space="0" w:color="auto"/>
              <w:left w:val="single" w:sz="4" w:space="0" w:color="auto"/>
              <w:bottom w:val="single" w:sz="4" w:space="0" w:color="auto"/>
              <w:right w:val="single" w:sz="4" w:space="0" w:color="auto"/>
            </w:tcBorders>
            <w:hideMark/>
          </w:tcPr>
          <w:p w:rsidR="00BC0EFA" w:rsidRDefault="00BC0EFA">
            <w:pPr>
              <w:ind w:right="113"/>
              <w:rPr>
                <w:sz w:val="18"/>
                <w:szCs w:val="20"/>
              </w:rPr>
            </w:pPr>
            <w:r>
              <w:rPr>
                <w:b/>
                <w:sz w:val="18"/>
                <w:szCs w:val="20"/>
              </w:rPr>
              <w:t xml:space="preserve">Vitamin B12 - </w:t>
            </w:r>
            <w:r>
              <w:rPr>
                <w:sz w:val="18"/>
                <w:szCs w:val="20"/>
              </w:rPr>
              <w:t>Awareness</w:t>
            </w:r>
          </w:p>
        </w:tc>
        <w:tc>
          <w:tcPr>
            <w:tcW w:w="796" w:type="pct"/>
            <w:tcBorders>
              <w:top w:val="single" w:sz="4" w:space="0" w:color="auto"/>
              <w:left w:val="single" w:sz="4" w:space="0" w:color="auto"/>
              <w:bottom w:val="single" w:sz="4" w:space="0" w:color="auto"/>
              <w:right w:val="single" w:sz="4" w:space="0" w:color="auto"/>
            </w:tcBorders>
            <w:hideMark/>
          </w:tcPr>
          <w:p w:rsidR="00BC0EFA" w:rsidRDefault="00BC0EFA">
            <w:pPr>
              <w:rPr>
                <w:sz w:val="16"/>
              </w:rPr>
            </w:pPr>
            <w:r>
              <w:rPr>
                <w:sz w:val="16"/>
              </w:rPr>
              <w:t>Once</w:t>
            </w:r>
          </w:p>
        </w:tc>
        <w:tc>
          <w:tcPr>
            <w:tcW w:w="411" w:type="pct"/>
            <w:tcBorders>
              <w:top w:val="single" w:sz="4" w:space="0" w:color="auto"/>
              <w:left w:val="single" w:sz="4" w:space="0" w:color="auto"/>
              <w:bottom w:val="single" w:sz="4" w:space="0" w:color="auto"/>
              <w:right w:val="single" w:sz="4" w:space="0" w:color="auto"/>
            </w:tcBorders>
            <w:hideMark/>
          </w:tcPr>
          <w:p w:rsidR="00BC0EFA" w:rsidRDefault="00BC0EFA">
            <w:r>
              <w:t>√</w:t>
            </w:r>
          </w:p>
        </w:tc>
        <w:tc>
          <w:tcPr>
            <w:tcW w:w="1343" w:type="pct"/>
            <w:tcBorders>
              <w:top w:val="single" w:sz="4" w:space="0" w:color="auto"/>
              <w:left w:val="single" w:sz="4" w:space="0" w:color="auto"/>
              <w:bottom w:val="single" w:sz="4" w:space="0" w:color="auto"/>
              <w:right w:val="single" w:sz="4" w:space="0" w:color="auto"/>
            </w:tcBorders>
          </w:tcPr>
          <w:p w:rsidR="00BC0EFA" w:rsidRDefault="00BC0EFA">
            <w:pPr>
              <w:rPr>
                <w:sz w:val="18"/>
              </w:rPr>
            </w:pPr>
          </w:p>
        </w:tc>
        <w:tc>
          <w:tcPr>
            <w:tcW w:w="317" w:type="pct"/>
            <w:tcBorders>
              <w:top w:val="single" w:sz="4" w:space="0" w:color="auto"/>
              <w:left w:val="single" w:sz="4" w:space="0" w:color="auto"/>
              <w:bottom w:val="single" w:sz="4" w:space="0" w:color="auto"/>
              <w:right w:val="single" w:sz="4" w:space="0" w:color="auto"/>
            </w:tcBorders>
            <w:hideMark/>
          </w:tcPr>
          <w:p w:rsidR="00BC0EFA" w:rsidRDefault="00BC0EFA">
            <w:r>
              <w:t>√</w:t>
            </w:r>
          </w:p>
        </w:tc>
      </w:tr>
      <w:tr w:rsidR="00BC0EFA" w:rsidTr="00BC0EFA">
        <w:tc>
          <w:tcPr>
            <w:tcW w:w="2132" w:type="pct"/>
            <w:tcBorders>
              <w:top w:val="single" w:sz="4" w:space="0" w:color="auto"/>
              <w:left w:val="single" w:sz="4" w:space="0" w:color="auto"/>
              <w:bottom w:val="single" w:sz="4" w:space="0" w:color="auto"/>
              <w:right w:val="single" w:sz="4" w:space="0" w:color="auto"/>
            </w:tcBorders>
            <w:hideMark/>
          </w:tcPr>
          <w:p w:rsidR="00BC0EFA" w:rsidRDefault="00BC0EFA" w:rsidP="003C1336">
            <w:pPr>
              <w:pStyle w:val="ListParagraph"/>
              <w:numPr>
                <w:ilvl w:val="0"/>
                <w:numId w:val="3"/>
              </w:numPr>
              <w:ind w:left="1843" w:right="113" w:hanging="425"/>
              <w:rPr>
                <w:sz w:val="18"/>
                <w:szCs w:val="20"/>
              </w:rPr>
            </w:pPr>
            <w:r>
              <w:rPr>
                <w:sz w:val="18"/>
                <w:szCs w:val="20"/>
              </w:rPr>
              <w:t>Administration</w:t>
            </w:r>
          </w:p>
        </w:tc>
        <w:tc>
          <w:tcPr>
            <w:tcW w:w="796" w:type="pct"/>
            <w:tcBorders>
              <w:top w:val="single" w:sz="4" w:space="0" w:color="auto"/>
              <w:left w:val="single" w:sz="4" w:space="0" w:color="auto"/>
              <w:bottom w:val="single" w:sz="4" w:space="0" w:color="auto"/>
              <w:right w:val="single" w:sz="4" w:space="0" w:color="auto"/>
            </w:tcBorders>
            <w:hideMark/>
          </w:tcPr>
          <w:p w:rsidR="00BC0EFA" w:rsidRDefault="00BC0EFA">
            <w:pPr>
              <w:rPr>
                <w:sz w:val="16"/>
              </w:rPr>
            </w:pPr>
            <w:r>
              <w:rPr>
                <w:sz w:val="16"/>
              </w:rPr>
              <w:t>Once</w:t>
            </w:r>
          </w:p>
        </w:tc>
        <w:tc>
          <w:tcPr>
            <w:tcW w:w="411" w:type="pct"/>
            <w:tcBorders>
              <w:top w:val="single" w:sz="4" w:space="0" w:color="auto"/>
              <w:left w:val="single" w:sz="4" w:space="0" w:color="auto"/>
              <w:bottom w:val="single" w:sz="4" w:space="0" w:color="auto"/>
              <w:right w:val="single" w:sz="4" w:space="0" w:color="auto"/>
            </w:tcBorders>
            <w:hideMark/>
          </w:tcPr>
          <w:p w:rsidR="00BC0EFA" w:rsidRDefault="00BC0EFA">
            <w:r>
              <w:t>√</w:t>
            </w:r>
          </w:p>
        </w:tc>
        <w:tc>
          <w:tcPr>
            <w:tcW w:w="1343" w:type="pct"/>
            <w:tcBorders>
              <w:top w:val="single" w:sz="4" w:space="0" w:color="auto"/>
              <w:left w:val="single" w:sz="4" w:space="0" w:color="auto"/>
              <w:bottom w:val="single" w:sz="4" w:space="0" w:color="auto"/>
              <w:right w:val="single" w:sz="4" w:space="0" w:color="auto"/>
            </w:tcBorders>
          </w:tcPr>
          <w:p w:rsidR="00BC0EFA" w:rsidRDefault="00BC0EFA">
            <w:pPr>
              <w:rPr>
                <w:sz w:val="18"/>
              </w:rPr>
            </w:pPr>
          </w:p>
        </w:tc>
        <w:tc>
          <w:tcPr>
            <w:tcW w:w="317" w:type="pct"/>
            <w:tcBorders>
              <w:top w:val="single" w:sz="4" w:space="0" w:color="auto"/>
              <w:left w:val="single" w:sz="4" w:space="0" w:color="auto"/>
              <w:bottom w:val="single" w:sz="4" w:space="0" w:color="auto"/>
              <w:right w:val="single" w:sz="4" w:space="0" w:color="auto"/>
            </w:tcBorders>
            <w:hideMark/>
          </w:tcPr>
          <w:p w:rsidR="00BC0EFA" w:rsidRDefault="00BC0EFA">
            <w:r>
              <w:t>√</w:t>
            </w:r>
          </w:p>
        </w:tc>
      </w:tr>
      <w:tr w:rsidR="00BC0EFA" w:rsidTr="00BC0EFA">
        <w:tc>
          <w:tcPr>
            <w:tcW w:w="2132" w:type="pct"/>
            <w:tcBorders>
              <w:top w:val="single" w:sz="4" w:space="0" w:color="auto"/>
              <w:left w:val="single" w:sz="4" w:space="0" w:color="auto"/>
              <w:bottom w:val="single" w:sz="4" w:space="0" w:color="auto"/>
              <w:right w:val="single" w:sz="4" w:space="0" w:color="auto"/>
            </w:tcBorders>
            <w:hideMark/>
          </w:tcPr>
          <w:p w:rsidR="00BC0EFA" w:rsidRDefault="00BC0EFA">
            <w:pPr>
              <w:pStyle w:val="ListParagraph"/>
              <w:ind w:left="0" w:right="113"/>
              <w:rPr>
                <w:b/>
                <w:sz w:val="18"/>
                <w:szCs w:val="20"/>
              </w:rPr>
            </w:pPr>
            <w:r>
              <w:rPr>
                <w:b/>
                <w:sz w:val="18"/>
                <w:szCs w:val="20"/>
              </w:rPr>
              <w:t>Control of Substances Hazardous to Health</w:t>
            </w:r>
          </w:p>
        </w:tc>
        <w:tc>
          <w:tcPr>
            <w:tcW w:w="796" w:type="pct"/>
            <w:tcBorders>
              <w:top w:val="single" w:sz="4" w:space="0" w:color="auto"/>
              <w:left w:val="single" w:sz="4" w:space="0" w:color="auto"/>
              <w:bottom w:val="single" w:sz="4" w:space="0" w:color="auto"/>
              <w:right w:val="single" w:sz="4" w:space="0" w:color="auto"/>
            </w:tcBorders>
            <w:hideMark/>
          </w:tcPr>
          <w:p w:rsidR="00BC0EFA" w:rsidRDefault="00BC0EFA">
            <w:pPr>
              <w:rPr>
                <w:sz w:val="16"/>
              </w:rPr>
            </w:pPr>
            <w:r>
              <w:rPr>
                <w:sz w:val="16"/>
              </w:rPr>
              <w:t>Risk assess</w:t>
            </w:r>
          </w:p>
        </w:tc>
        <w:tc>
          <w:tcPr>
            <w:tcW w:w="411" w:type="pct"/>
            <w:tcBorders>
              <w:top w:val="single" w:sz="4" w:space="0" w:color="auto"/>
              <w:left w:val="single" w:sz="4" w:space="0" w:color="auto"/>
              <w:bottom w:val="single" w:sz="4" w:space="0" w:color="auto"/>
              <w:right w:val="single" w:sz="4" w:space="0" w:color="auto"/>
            </w:tcBorders>
          </w:tcPr>
          <w:p w:rsidR="00BC0EFA" w:rsidRDefault="00BC0EFA"/>
        </w:tc>
        <w:tc>
          <w:tcPr>
            <w:tcW w:w="1343" w:type="pct"/>
            <w:tcBorders>
              <w:top w:val="single" w:sz="4" w:space="0" w:color="auto"/>
              <w:left w:val="single" w:sz="4" w:space="0" w:color="auto"/>
              <w:bottom w:val="single" w:sz="4" w:space="0" w:color="auto"/>
              <w:right w:val="single" w:sz="4" w:space="0" w:color="auto"/>
            </w:tcBorders>
            <w:hideMark/>
          </w:tcPr>
          <w:p w:rsidR="00BC0EFA" w:rsidRDefault="00BC0EFA">
            <w:pPr>
              <w:rPr>
                <w:sz w:val="18"/>
              </w:rPr>
            </w:pPr>
            <w:r>
              <w:rPr>
                <w:sz w:val="18"/>
              </w:rPr>
              <w:t>Available online see above</w:t>
            </w:r>
          </w:p>
        </w:tc>
        <w:tc>
          <w:tcPr>
            <w:tcW w:w="317" w:type="pct"/>
            <w:tcBorders>
              <w:top w:val="single" w:sz="4" w:space="0" w:color="auto"/>
              <w:left w:val="single" w:sz="4" w:space="0" w:color="auto"/>
              <w:bottom w:val="single" w:sz="4" w:space="0" w:color="auto"/>
              <w:right w:val="single" w:sz="4" w:space="0" w:color="auto"/>
            </w:tcBorders>
            <w:hideMark/>
          </w:tcPr>
          <w:p w:rsidR="00BC0EFA" w:rsidRDefault="00BC0EFA">
            <w:r>
              <w:t>√</w:t>
            </w:r>
          </w:p>
        </w:tc>
      </w:tr>
      <w:tr w:rsidR="00BC0EFA" w:rsidTr="00BC0EFA">
        <w:tc>
          <w:tcPr>
            <w:tcW w:w="2132" w:type="pct"/>
            <w:tcBorders>
              <w:top w:val="single" w:sz="4" w:space="0" w:color="auto"/>
              <w:left w:val="single" w:sz="4" w:space="0" w:color="auto"/>
              <w:bottom w:val="single" w:sz="4" w:space="0" w:color="auto"/>
              <w:right w:val="single" w:sz="4" w:space="0" w:color="auto"/>
            </w:tcBorders>
            <w:hideMark/>
          </w:tcPr>
          <w:p w:rsidR="00BC0EFA" w:rsidRDefault="00BC0EFA">
            <w:pPr>
              <w:pStyle w:val="ListParagraph"/>
              <w:ind w:right="113" w:hanging="720"/>
              <w:rPr>
                <w:b/>
                <w:sz w:val="18"/>
                <w:szCs w:val="20"/>
              </w:rPr>
            </w:pPr>
            <w:r>
              <w:rPr>
                <w:b/>
                <w:sz w:val="18"/>
                <w:szCs w:val="20"/>
              </w:rPr>
              <w:t>Medicines Management</w:t>
            </w:r>
          </w:p>
        </w:tc>
        <w:tc>
          <w:tcPr>
            <w:tcW w:w="796" w:type="pct"/>
            <w:tcBorders>
              <w:top w:val="single" w:sz="4" w:space="0" w:color="auto"/>
              <w:left w:val="single" w:sz="4" w:space="0" w:color="auto"/>
              <w:bottom w:val="single" w:sz="4" w:space="0" w:color="auto"/>
              <w:right w:val="single" w:sz="4" w:space="0" w:color="auto"/>
            </w:tcBorders>
            <w:hideMark/>
          </w:tcPr>
          <w:p w:rsidR="00BC0EFA" w:rsidRDefault="00BC0EFA">
            <w:pPr>
              <w:rPr>
                <w:sz w:val="16"/>
              </w:rPr>
            </w:pPr>
            <w:r>
              <w:rPr>
                <w:sz w:val="16"/>
              </w:rPr>
              <w:t>CPD assess</w:t>
            </w:r>
          </w:p>
        </w:tc>
        <w:tc>
          <w:tcPr>
            <w:tcW w:w="411" w:type="pct"/>
            <w:tcBorders>
              <w:top w:val="single" w:sz="4" w:space="0" w:color="auto"/>
              <w:left w:val="single" w:sz="4" w:space="0" w:color="auto"/>
              <w:bottom w:val="single" w:sz="4" w:space="0" w:color="auto"/>
              <w:right w:val="single" w:sz="4" w:space="0" w:color="auto"/>
            </w:tcBorders>
            <w:hideMark/>
          </w:tcPr>
          <w:p w:rsidR="00BC0EFA" w:rsidRDefault="00BC0EFA">
            <w:r>
              <w:t>√</w:t>
            </w:r>
          </w:p>
        </w:tc>
        <w:tc>
          <w:tcPr>
            <w:tcW w:w="1343" w:type="pct"/>
            <w:tcBorders>
              <w:top w:val="single" w:sz="4" w:space="0" w:color="auto"/>
              <w:left w:val="single" w:sz="4" w:space="0" w:color="auto"/>
              <w:bottom w:val="single" w:sz="4" w:space="0" w:color="auto"/>
              <w:right w:val="single" w:sz="4" w:space="0" w:color="auto"/>
            </w:tcBorders>
            <w:hideMark/>
          </w:tcPr>
          <w:p w:rsidR="00BC0EFA" w:rsidRDefault="00BC0EFA">
            <w:pPr>
              <w:rPr>
                <w:sz w:val="18"/>
              </w:rPr>
            </w:pPr>
            <w:r>
              <w:rPr>
                <w:sz w:val="18"/>
              </w:rPr>
              <w:t>Available online see above</w:t>
            </w:r>
          </w:p>
        </w:tc>
        <w:tc>
          <w:tcPr>
            <w:tcW w:w="317" w:type="pct"/>
            <w:tcBorders>
              <w:top w:val="single" w:sz="4" w:space="0" w:color="auto"/>
              <w:left w:val="single" w:sz="4" w:space="0" w:color="auto"/>
              <w:bottom w:val="single" w:sz="4" w:space="0" w:color="auto"/>
              <w:right w:val="single" w:sz="4" w:space="0" w:color="auto"/>
            </w:tcBorders>
            <w:hideMark/>
          </w:tcPr>
          <w:p w:rsidR="00BC0EFA" w:rsidRDefault="00BC0EFA">
            <w:r>
              <w:t>√</w:t>
            </w:r>
          </w:p>
        </w:tc>
      </w:tr>
      <w:tr w:rsidR="00BC0EFA" w:rsidTr="00BC0EFA">
        <w:tc>
          <w:tcPr>
            <w:tcW w:w="2132" w:type="pct"/>
            <w:tcBorders>
              <w:top w:val="single" w:sz="4" w:space="0" w:color="auto"/>
              <w:left w:val="single" w:sz="4" w:space="0" w:color="auto"/>
              <w:bottom w:val="single" w:sz="4" w:space="0" w:color="auto"/>
              <w:right w:val="single" w:sz="4" w:space="0" w:color="auto"/>
            </w:tcBorders>
            <w:hideMark/>
          </w:tcPr>
          <w:p w:rsidR="00BC0EFA" w:rsidRDefault="00BC0EFA">
            <w:pPr>
              <w:pStyle w:val="ListParagraph"/>
              <w:ind w:right="113" w:hanging="720"/>
              <w:rPr>
                <w:b/>
                <w:sz w:val="18"/>
                <w:szCs w:val="20"/>
              </w:rPr>
            </w:pPr>
            <w:r>
              <w:rPr>
                <w:b/>
                <w:sz w:val="18"/>
                <w:szCs w:val="20"/>
              </w:rPr>
              <w:t>Medical Devices</w:t>
            </w:r>
          </w:p>
        </w:tc>
        <w:tc>
          <w:tcPr>
            <w:tcW w:w="796" w:type="pct"/>
            <w:tcBorders>
              <w:top w:val="single" w:sz="4" w:space="0" w:color="auto"/>
              <w:left w:val="single" w:sz="4" w:space="0" w:color="auto"/>
              <w:bottom w:val="single" w:sz="4" w:space="0" w:color="auto"/>
              <w:right w:val="single" w:sz="4" w:space="0" w:color="auto"/>
            </w:tcBorders>
            <w:hideMark/>
          </w:tcPr>
          <w:p w:rsidR="00BC0EFA" w:rsidRDefault="00BC0EFA">
            <w:pPr>
              <w:rPr>
                <w:sz w:val="16"/>
              </w:rPr>
            </w:pPr>
            <w:r>
              <w:rPr>
                <w:sz w:val="16"/>
              </w:rPr>
              <w:t>Device driven</w:t>
            </w:r>
          </w:p>
        </w:tc>
        <w:tc>
          <w:tcPr>
            <w:tcW w:w="411" w:type="pct"/>
            <w:tcBorders>
              <w:top w:val="single" w:sz="4" w:space="0" w:color="auto"/>
              <w:left w:val="single" w:sz="4" w:space="0" w:color="auto"/>
              <w:bottom w:val="single" w:sz="4" w:space="0" w:color="auto"/>
              <w:right w:val="single" w:sz="4" w:space="0" w:color="auto"/>
            </w:tcBorders>
            <w:hideMark/>
          </w:tcPr>
          <w:p w:rsidR="00BC0EFA" w:rsidRDefault="00BC0EFA">
            <w:r>
              <w:t>√</w:t>
            </w:r>
          </w:p>
        </w:tc>
        <w:tc>
          <w:tcPr>
            <w:tcW w:w="1343" w:type="pct"/>
            <w:tcBorders>
              <w:top w:val="single" w:sz="4" w:space="0" w:color="auto"/>
              <w:left w:val="single" w:sz="4" w:space="0" w:color="auto"/>
              <w:bottom w:val="single" w:sz="4" w:space="0" w:color="auto"/>
              <w:right w:val="single" w:sz="4" w:space="0" w:color="auto"/>
            </w:tcBorders>
          </w:tcPr>
          <w:p w:rsidR="00BC0EFA" w:rsidRDefault="00BC0EFA">
            <w:pPr>
              <w:rPr>
                <w:sz w:val="18"/>
              </w:rPr>
            </w:pPr>
          </w:p>
        </w:tc>
        <w:tc>
          <w:tcPr>
            <w:tcW w:w="317" w:type="pct"/>
            <w:tcBorders>
              <w:top w:val="single" w:sz="4" w:space="0" w:color="auto"/>
              <w:left w:val="single" w:sz="4" w:space="0" w:color="auto"/>
              <w:bottom w:val="single" w:sz="4" w:space="0" w:color="auto"/>
              <w:right w:val="single" w:sz="4" w:space="0" w:color="auto"/>
            </w:tcBorders>
            <w:hideMark/>
          </w:tcPr>
          <w:p w:rsidR="00BC0EFA" w:rsidRDefault="00BC0EFA">
            <w:r>
              <w:t>√</w:t>
            </w:r>
          </w:p>
        </w:tc>
      </w:tr>
      <w:tr w:rsidR="00BC0EFA" w:rsidTr="00BC0EFA">
        <w:tc>
          <w:tcPr>
            <w:tcW w:w="2132" w:type="pct"/>
            <w:tcBorders>
              <w:top w:val="single" w:sz="4" w:space="0" w:color="auto"/>
              <w:left w:val="single" w:sz="4" w:space="0" w:color="auto"/>
              <w:bottom w:val="single" w:sz="4" w:space="0" w:color="auto"/>
              <w:right w:val="single" w:sz="4" w:space="0" w:color="auto"/>
            </w:tcBorders>
            <w:hideMark/>
          </w:tcPr>
          <w:p w:rsidR="00BC0EFA" w:rsidRDefault="00BC0EFA">
            <w:pPr>
              <w:pStyle w:val="ListParagraph"/>
              <w:ind w:right="113" w:hanging="720"/>
              <w:rPr>
                <w:b/>
                <w:sz w:val="18"/>
                <w:szCs w:val="20"/>
              </w:rPr>
            </w:pPr>
            <w:r>
              <w:rPr>
                <w:b/>
                <w:sz w:val="18"/>
                <w:szCs w:val="20"/>
              </w:rPr>
              <w:t>Sexual Health/Family Planning</w:t>
            </w:r>
          </w:p>
        </w:tc>
        <w:tc>
          <w:tcPr>
            <w:tcW w:w="796" w:type="pct"/>
            <w:tcBorders>
              <w:top w:val="single" w:sz="4" w:space="0" w:color="auto"/>
              <w:left w:val="single" w:sz="4" w:space="0" w:color="auto"/>
              <w:bottom w:val="single" w:sz="4" w:space="0" w:color="auto"/>
              <w:right w:val="single" w:sz="4" w:space="0" w:color="auto"/>
            </w:tcBorders>
            <w:hideMark/>
          </w:tcPr>
          <w:p w:rsidR="00BC0EFA" w:rsidRDefault="00BC0EFA">
            <w:pPr>
              <w:rPr>
                <w:sz w:val="16"/>
              </w:rPr>
            </w:pPr>
            <w:r>
              <w:rPr>
                <w:sz w:val="16"/>
              </w:rPr>
              <w:t>CPD assess</w:t>
            </w:r>
          </w:p>
        </w:tc>
        <w:tc>
          <w:tcPr>
            <w:tcW w:w="411" w:type="pct"/>
            <w:tcBorders>
              <w:top w:val="single" w:sz="4" w:space="0" w:color="auto"/>
              <w:left w:val="single" w:sz="4" w:space="0" w:color="auto"/>
              <w:bottom w:val="single" w:sz="4" w:space="0" w:color="auto"/>
              <w:right w:val="single" w:sz="4" w:space="0" w:color="auto"/>
            </w:tcBorders>
            <w:hideMark/>
          </w:tcPr>
          <w:p w:rsidR="00BC0EFA" w:rsidRDefault="00BC0EFA">
            <w:r>
              <w:t>√</w:t>
            </w:r>
          </w:p>
        </w:tc>
        <w:tc>
          <w:tcPr>
            <w:tcW w:w="1343" w:type="pct"/>
            <w:tcBorders>
              <w:top w:val="single" w:sz="4" w:space="0" w:color="auto"/>
              <w:left w:val="single" w:sz="4" w:space="0" w:color="auto"/>
              <w:bottom w:val="single" w:sz="4" w:space="0" w:color="auto"/>
              <w:right w:val="single" w:sz="4" w:space="0" w:color="auto"/>
            </w:tcBorders>
          </w:tcPr>
          <w:p w:rsidR="00BC0EFA" w:rsidRDefault="00BC0EFA">
            <w:pPr>
              <w:rPr>
                <w:sz w:val="18"/>
              </w:rPr>
            </w:pPr>
          </w:p>
        </w:tc>
        <w:tc>
          <w:tcPr>
            <w:tcW w:w="317" w:type="pct"/>
            <w:tcBorders>
              <w:top w:val="single" w:sz="4" w:space="0" w:color="auto"/>
              <w:left w:val="single" w:sz="4" w:space="0" w:color="auto"/>
              <w:bottom w:val="single" w:sz="4" w:space="0" w:color="auto"/>
              <w:right w:val="single" w:sz="4" w:space="0" w:color="auto"/>
            </w:tcBorders>
            <w:hideMark/>
          </w:tcPr>
          <w:p w:rsidR="00BC0EFA" w:rsidRDefault="00BC0EFA">
            <w:r>
              <w:t>√</w:t>
            </w:r>
          </w:p>
        </w:tc>
      </w:tr>
      <w:tr w:rsidR="00BC0EFA" w:rsidTr="00BC0EFA">
        <w:tc>
          <w:tcPr>
            <w:tcW w:w="2132" w:type="pct"/>
            <w:tcBorders>
              <w:top w:val="single" w:sz="4" w:space="0" w:color="auto"/>
              <w:left w:val="single" w:sz="4" w:space="0" w:color="auto"/>
              <w:bottom w:val="single" w:sz="4" w:space="0" w:color="auto"/>
              <w:right w:val="single" w:sz="4" w:space="0" w:color="auto"/>
            </w:tcBorders>
            <w:hideMark/>
          </w:tcPr>
          <w:p w:rsidR="00BC0EFA" w:rsidRDefault="00BC0EFA">
            <w:pPr>
              <w:pStyle w:val="ListParagraph"/>
              <w:ind w:hanging="720"/>
              <w:rPr>
                <w:b/>
                <w:sz w:val="18"/>
                <w:szCs w:val="20"/>
              </w:rPr>
            </w:pPr>
            <w:r>
              <w:rPr>
                <w:b/>
                <w:sz w:val="18"/>
                <w:szCs w:val="20"/>
              </w:rPr>
              <w:t>Evidence Based Healthcare</w:t>
            </w:r>
          </w:p>
        </w:tc>
        <w:tc>
          <w:tcPr>
            <w:tcW w:w="796" w:type="pct"/>
            <w:tcBorders>
              <w:top w:val="single" w:sz="4" w:space="0" w:color="auto"/>
              <w:left w:val="single" w:sz="4" w:space="0" w:color="auto"/>
              <w:bottom w:val="single" w:sz="4" w:space="0" w:color="auto"/>
              <w:right w:val="single" w:sz="4" w:space="0" w:color="auto"/>
            </w:tcBorders>
            <w:hideMark/>
          </w:tcPr>
          <w:p w:rsidR="00BC0EFA" w:rsidRDefault="00BC0EFA">
            <w:pPr>
              <w:rPr>
                <w:sz w:val="16"/>
              </w:rPr>
            </w:pPr>
            <w:r>
              <w:rPr>
                <w:sz w:val="16"/>
              </w:rPr>
              <w:t>once</w:t>
            </w:r>
          </w:p>
        </w:tc>
        <w:tc>
          <w:tcPr>
            <w:tcW w:w="411" w:type="pct"/>
            <w:tcBorders>
              <w:top w:val="single" w:sz="4" w:space="0" w:color="auto"/>
              <w:left w:val="single" w:sz="4" w:space="0" w:color="auto"/>
              <w:bottom w:val="single" w:sz="4" w:space="0" w:color="auto"/>
              <w:right w:val="single" w:sz="4" w:space="0" w:color="auto"/>
            </w:tcBorders>
            <w:hideMark/>
          </w:tcPr>
          <w:p w:rsidR="00BC0EFA" w:rsidRDefault="00BC0EFA">
            <w:r>
              <w:t>√</w:t>
            </w:r>
          </w:p>
        </w:tc>
        <w:tc>
          <w:tcPr>
            <w:tcW w:w="1343" w:type="pct"/>
            <w:tcBorders>
              <w:top w:val="single" w:sz="4" w:space="0" w:color="auto"/>
              <w:left w:val="single" w:sz="4" w:space="0" w:color="auto"/>
              <w:bottom w:val="single" w:sz="4" w:space="0" w:color="auto"/>
              <w:right w:val="single" w:sz="4" w:space="0" w:color="auto"/>
            </w:tcBorders>
          </w:tcPr>
          <w:p w:rsidR="00BC0EFA" w:rsidRDefault="00BC0EFA">
            <w:pPr>
              <w:rPr>
                <w:sz w:val="18"/>
              </w:rPr>
            </w:pPr>
          </w:p>
        </w:tc>
        <w:tc>
          <w:tcPr>
            <w:tcW w:w="317" w:type="pct"/>
            <w:tcBorders>
              <w:top w:val="single" w:sz="4" w:space="0" w:color="auto"/>
              <w:left w:val="single" w:sz="4" w:space="0" w:color="auto"/>
              <w:bottom w:val="single" w:sz="4" w:space="0" w:color="auto"/>
              <w:right w:val="single" w:sz="4" w:space="0" w:color="auto"/>
            </w:tcBorders>
            <w:hideMark/>
          </w:tcPr>
          <w:p w:rsidR="00BC0EFA" w:rsidRDefault="00BC0EFA">
            <w:r>
              <w:t>√</w:t>
            </w:r>
          </w:p>
        </w:tc>
      </w:tr>
      <w:tr w:rsidR="00BC0EFA" w:rsidTr="00BC0EFA">
        <w:tc>
          <w:tcPr>
            <w:tcW w:w="2132" w:type="pct"/>
            <w:tcBorders>
              <w:top w:val="single" w:sz="4" w:space="0" w:color="auto"/>
              <w:left w:val="single" w:sz="4" w:space="0" w:color="auto"/>
              <w:bottom w:val="single" w:sz="4" w:space="0" w:color="auto"/>
              <w:right w:val="single" w:sz="4" w:space="0" w:color="auto"/>
            </w:tcBorders>
            <w:hideMark/>
          </w:tcPr>
          <w:p w:rsidR="00BC0EFA" w:rsidRDefault="00BC0EFA">
            <w:pPr>
              <w:rPr>
                <w:b/>
                <w:sz w:val="18"/>
                <w:szCs w:val="20"/>
              </w:rPr>
            </w:pPr>
            <w:r>
              <w:rPr>
                <w:b/>
                <w:sz w:val="18"/>
                <w:szCs w:val="20"/>
              </w:rPr>
              <w:t>Virtual Working</w:t>
            </w:r>
          </w:p>
        </w:tc>
        <w:tc>
          <w:tcPr>
            <w:tcW w:w="796" w:type="pct"/>
            <w:tcBorders>
              <w:top w:val="single" w:sz="4" w:space="0" w:color="auto"/>
              <w:left w:val="single" w:sz="4" w:space="0" w:color="auto"/>
              <w:bottom w:val="single" w:sz="4" w:space="0" w:color="auto"/>
              <w:right w:val="single" w:sz="4" w:space="0" w:color="auto"/>
            </w:tcBorders>
            <w:hideMark/>
          </w:tcPr>
          <w:p w:rsidR="00BC0EFA" w:rsidRDefault="00BC0EFA">
            <w:pPr>
              <w:rPr>
                <w:sz w:val="16"/>
              </w:rPr>
            </w:pPr>
            <w:r>
              <w:rPr>
                <w:sz w:val="16"/>
              </w:rPr>
              <w:t>once</w:t>
            </w:r>
          </w:p>
        </w:tc>
        <w:tc>
          <w:tcPr>
            <w:tcW w:w="411" w:type="pct"/>
            <w:tcBorders>
              <w:top w:val="single" w:sz="4" w:space="0" w:color="auto"/>
              <w:left w:val="single" w:sz="4" w:space="0" w:color="auto"/>
              <w:bottom w:val="single" w:sz="4" w:space="0" w:color="auto"/>
              <w:right w:val="single" w:sz="4" w:space="0" w:color="auto"/>
            </w:tcBorders>
          </w:tcPr>
          <w:p w:rsidR="00BC0EFA" w:rsidRDefault="00BC0EFA"/>
        </w:tc>
        <w:tc>
          <w:tcPr>
            <w:tcW w:w="1343" w:type="pct"/>
            <w:tcBorders>
              <w:top w:val="single" w:sz="4" w:space="0" w:color="auto"/>
              <w:left w:val="single" w:sz="4" w:space="0" w:color="auto"/>
              <w:bottom w:val="single" w:sz="4" w:space="0" w:color="auto"/>
              <w:right w:val="single" w:sz="4" w:space="0" w:color="auto"/>
            </w:tcBorders>
          </w:tcPr>
          <w:p w:rsidR="00BC0EFA" w:rsidRDefault="00BC0EFA">
            <w:pPr>
              <w:rPr>
                <w:sz w:val="18"/>
              </w:rPr>
            </w:pPr>
          </w:p>
        </w:tc>
        <w:tc>
          <w:tcPr>
            <w:tcW w:w="317" w:type="pct"/>
            <w:tcBorders>
              <w:top w:val="single" w:sz="4" w:space="0" w:color="auto"/>
              <w:left w:val="single" w:sz="4" w:space="0" w:color="auto"/>
              <w:bottom w:val="single" w:sz="4" w:space="0" w:color="auto"/>
              <w:right w:val="single" w:sz="4" w:space="0" w:color="auto"/>
            </w:tcBorders>
            <w:hideMark/>
          </w:tcPr>
          <w:p w:rsidR="00BC0EFA" w:rsidRDefault="00BC0EFA">
            <w:r>
              <w:t>√</w:t>
            </w:r>
          </w:p>
        </w:tc>
      </w:tr>
      <w:tr w:rsidR="00BC0EFA" w:rsidTr="00BC0EFA">
        <w:tc>
          <w:tcPr>
            <w:tcW w:w="2132" w:type="pct"/>
            <w:tcBorders>
              <w:top w:val="single" w:sz="4" w:space="0" w:color="auto"/>
              <w:left w:val="single" w:sz="4" w:space="0" w:color="auto"/>
              <w:bottom w:val="single" w:sz="4" w:space="0" w:color="auto"/>
              <w:right w:val="single" w:sz="4" w:space="0" w:color="auto"/>
            </w:tcBorders>
            <w:hideMark/>
          </w:tcPr>
          <w:p w:rsidR="00BC0EFA" w:rsidRDefault="00BC0EFA">
            <w:pPr>
              <w:pStyle w:val="ListParagraph"/>
              <w:ind w:hanging="720"/>
              <w:rPr>
                <w:b/>
                <w:sz w:val="18"/>
                <w:szCs w:val="20"/>
              </w:rPr>
            </w:pPr>
            <w:r>
              <w:rPr>
                <w:b/>
                <w:sz w:val="18"/>
                <w:szCs w:val="20"/>
              </w:rPr>
              <w:t>Customer Service Essentials</w:t>
            </w:r>
          </w:p>
        </w:tc>
        <w:tc>
          <w:tcPr>
            <w:tcW w:w="796" w:type="pct"/>
            <w:tcBorders>
              <w:top w:val="single" w:sz="4" w:space="0" w:color="auto"/>
              <w:left w:val="single" w:sz="4" w:space="0" w:color="auto"/>
              <w:bottom w:val="single" w:sz="4" w:space="0" w:color="auto"/>
              <w:right w:val="single" w:sz="4" w:space="0" w:color="auto"/>
            </w:tcBorders>
            <w:hideMark/>
          </w:tcPr>
          <w:p w:rsidR="00BC0EFA" w:rsidRDefault="00BC0EFA">
            <w:pPr>
              <w:rPr>
                <w:sz w:val="16"/>
              </w:rPr>
            </w:pPr>
            <w:r>
              <w:rPr>
                <w:sz w:val="16"/>
              </w:rPr>
              <w:t>once</w:t>
            </w:r>
          </w:p>
        </w:tc>
        <w:tc>
          <w:tcPr>
            <w:tcW w:w="411" w:type="pct"/>
            <w:tcBorders>
              <w:top w:val="single" w:sz="4" w:space="0" w:color="auto"/>
              <w:left w:val="single" w:sz="4" w:space="0" w:color="auto"/>
              <w:bottom w:val="single" w:sz="4" w:space="0" w:color="auto"/>
              <w:right w:val="single" w:sz="4" w:space="0" w:color="auto"/>
            </w:tcBorders>
            <w:hideMark/>
          </w:tcPr>
          <w:p w:rsidR="00BC0EFA" w:rsidRDefault="00BC0EFA">
            <w:r>
              <w:t>√</w:t>
            </w:r>
          </w:p>
        </w:tc>
        <w:tc>
          <w:tcPr>
            <w:tcW w:w="1343" w:type="pct"/>
            <w:tcBorders>
              <w:top w:val="single" w:sz="4" w:space="0" w:color="auto"/>
              <w:left w:val="single" w:sz="4" w:space="0" w:color="auto"/>
              <w:bottom w:val="single" w:sz="4" w:space="0" w:color="auto"/>
              <w:right w:val="single" w:sz="4" w:space="0" w:color="auto"/>
            </w:tcBorders>
          </w:tcPr>
          <w:p w:rsidR="00BC0EFA" w:rsidRDefault="00BC0EFA">
            <w:pPr>
              <w:rPr>
                <w:sz w:val="18"/>
              </w:rPr>
            </w:pPr>
          </w:p>
        </w:tc>
        <w:tc>
          <w:tcPr>
            <w:tcW w:w="317" w:type="pct"/>
            <w:tcBorders>
              <w:top w:val="single" w:sz="4" w:space="0" w:color="auto"/>
              <w:left w:val="single" w:sz="4" w:space="0" w:color="auto"/>
              <w:bottom w:val="single" w:sz="4" w:space="0" w:color="auto"/>
              <w:right w:val="single" w:sz="4" w:space="0" w:color="auto"/>
            </w:tcBorders>
            <w:hideMark/>
          </w:tcPr>
          <w:p w:rsidR="00BC0EFA" w:rsidRDefault="00BC0EFA">
            <w:r>
              <w:t>√</w:t>
            </w:r>
          </w:p>
        </w:tc>
      </w:tr>
    </w:tbl>
    <w:p w:rsidR="00BC0EFA" w:rsidRDefault="00BC0EFA" w:rsidP="00BC0EFA">
      <w:r>
        <w:t xml:space="preserve">A list of courses and providers can be found in the </w:t>
      </w:r>
      <w:hyperlink r:id="rId17" w:tooltip="http://www.cheshireandmerseysideprimarycareacademy.co.uk/index.php/education-training/learning-repository&#10;Ctrl+Click or tap to follow the link" w:history="1">
        <w:r>
          <w:rPr>
            <w:rStyle w:val="Hyperlink"/>
            <w:rFonts w:cs="Calibri"/>
            <w:color w:val="0000FF"/>
          </w:rPr>
          <w:t>Professional Development Directory</w:t>
        </w:r>
      </w:hyperlink>
      <w:r>
        <w:t xml:space="preserve">, </w:t>
      </w:r>
      <w:r w:rsidR="00F3693E">
        <w:t>examples of further training are</w:t>
      </w:r>
      <w:r>
        <w:t xml:space="preserve"> illustrated above.</w:t>
      </w:r>
    </w:p>
    <w:p w:rsidR="00984EA4" w:rsidRDefault="00984EA4" w:rsidP="00F3693E">
      <w:pPr>
        <w:jc w:val="center"/>
        <w:rPr>
          <w:b/>
          <w:sz w:val="28"/>
        </w:rPr>
      </w:pPr>
      <w:r>
        <w:rPr>
          <w:b/>
          <w:sz w:val="28"/>
        </w:rPr>
        <w:lastRenderedPageBreak/>
        <w:t>Resources</w:t>
      </w:r>
    </w:p>
    <w:p w:rsidR="004C4311" w:rsidRDefault="004C4311" w:rsidP="00984EA4">
      <w:r>
        <w:t>Standards of Proficiency for Nursing Associates (2018) Nursing and Midwifery Council Midwifery</w:t>
      </w:r>
      <w:hyperlink r:id="rId18" w:history="1">
        <w:r w:rsidRPr="006F43F0">
          <w:rPr>
            <w:rStyle w:val="Hyperlink"/>
          </w:rPr>
          <w:t>https://www.nmc.org.uk/globalassets/sitedocuments/standards-of-proficiency/nursing-associates/nursing-associates-proficiency-standards.pdf</w:t>
        </w:r>
      </w:hyperlink>
    </w:p>
    <w:p w:rsidR="004C4311" w:rsidRDefault="004C4311" w:rsidP="00984EA4">
      <w:r>
        <w:t xml:space="preserve">HEE Nursing Associates: Their role in General Practice </w:t>
      </w:r>
      <w:hyperlink r:id="rId19" w:history="1">
        <w:r w:rsidRPr="006F43F0">
          <w:rPr>
            <w:rStyle w:val="Hyperlink"/>
          </w:rPr>
          <w:t>https://humbercoastandvale.org.uk/wp-content/uploads/2019/05/Nursing-Associates-in-Primary-Care.pdf</w:t>
        </w:r>
      </w:hyperlink>
    </w:p>
    <w:p w:rsidR="00E207DE" w:rsidRPr="00E207DE" w:rsidRDefault="00E207DE" w:rsidP="00984EA4">
      <w:r>
        <w:t>Institute for Apprenticeships &amp; Technical Education</w:t>
      </w:r>
    </w:p>
    <w:p w:rsidR="004C4311" w:rsidRDefault="0064562E" w:rsidP="00984EA4">
      <w:hyperlink r:id="rId20" w:history="1">
        <w:r w:rsidR="00E207DE" w:rsidRPr="00EE1BE1">
          <w:rPr>
            <w:rStyle w:val="Hyperlink"/>
          </w:rPr>
          <w:t>https://www.instituteforapprenticeships.org/apprenticeship-standards/nursing-associate-nmc-2018/</w:t>
        </w:r>
      </w:hyperlink>
      <w:r w:rsidR="00E207DE">
        <w:tab/>
      </w:r>
    </w:p>
    <w:p w:rsidR="00984EA4" w:rsidRDefault="00984EA4" w:rsidP="00984EA4"/>
    <w:p w:rsidR="00984EA4" w:rsidRDefault="00984EA4" w:rsidP="00984EA4">
      <w:r>
        <w:t xml:space="preserve"> </w:t>
      </w:r>
    </w:p>
    <w:p w:rsidR="00984EA4" w:rsidRDefault="00984EA4" w:rsidP="00984EA4"/>
    <w:p w:rsidR="00BF1ECF" w:rsidRDefault="00BF1ECF"/>
    <w:sectPr w:rsidR="00BF1ECF">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93E" w:rsidRDefault="00F3693E" w:rsidP="00F3693E">
      <w:pPr>
        <w:spacing w:after="0" w:line="240" w:lineRule="auto"/>
      </w:pPr>
      <w:r>
        <w:separator/>
      </w:r>
    </w:p>
  </w:endnote>
  <w:endnote w:type="continuationSeparator" w:id="0">
    <w:p w:rsidR="00F3693E" w:rsidRDefault="00F3693E" w:rsidP="00F36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93E" w:rsidRDefault="00F3693E">
    <w:pPr>
      <w:pStyle w:val="Footer"/>
      <w:pBdr>
        <w:top w:val="thinThickSmallGap" w:sz="24" w:space="1" w:color="622423" w:themeColor="accent2" w:themeShade="7F"/>
      </w:pBdr>
      <w:rPr>
        <w:rFonts w:asciiTheme="majorHAnsi" w:eastAsiaTheme="majorEastAsia" w:hAnsiTheme="majorHAnsi" w:cstheme="majorBidi"/>
      </w:rPr>
    </w:pPr>
    <w:r w:rsidRPr="00F3693E">
      <w:rPr>
        <w:rFonts w:asciiTheme="majorHAnsi" w:eastAsiaTheme="majorEastAsia" w:hAnsiTheme="majorHAnsi" w:cstheme="majorBidi"/>
      </w:rPr>
      <w:t>Nursing Associate Education and Training Support Pack</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4562E" w:rsidRPr="0064562E">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F3693E" w:rsidRDefault="00F369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93E" w:rsidRDefault="00F3693E" w:rsidP="00F3693E">
      <w:pPr>
        <w:spacing w:after="0" w:line="240" w:lineRule="auto"/>
      </w:pPr>
      <w:r>
        <w:separator/>
      </w:r>
    </w:p>
  </w:footnote>
  <w:footnote w:type="continuationSeparator" w:id="0">
    <w:p w:rsidR="00F3693E" w:rsidRDefault="00F3693E" w:rsidP="00F369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1343A"/>
    <w:multiLevelType w:val="hybridMultilevel"/>
    <w:tmpl w:val="9B348DEE"/>
    <w:lvl w:ilvl="0" w:tplc="EC368264">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73A729BB"/>
    <w:multiLevelType w:val="hybridMultilevel"/>
    <w:tmpl w:val="2BBC25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7A3E666E"/>
    <w:multiLevelType w:val="hybridMultilevel"/>
    <w:tmpl w:val="CB6A3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EA4"/>
    <w:rsid w:val="00151BC8"/>
    <w:rsid w:val="00251437"/>
    <w:rsid w:val="004571B0"/>
    <w:rsid w:val="004C4311"/>
    <w:rsid w:val="00566F0E"/>
    <w:rsid w:val="0064562E"/>
    <w:rsid w:val="00940AB2"/>
    <w:rsid w:val="00984EA4"/>
    <w:rsid w:val="00B1760F"/>
    <w:rsid w:val="00BC0EFA"/>
    <w:rsid w:val="00BF1ECF"/>
    <w:rsid w:val="00E207DE"/>
    <w:rsid w:val="00E70812"/>
    <w:rsid w:val="00F36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EA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4EA4"/>
    <w:rPr>
      <w:color w:val="0000FF" w:themeColor="hyperlink"/>
      <w:u w:val="single"/>
    </w:rPr>
  </w:style>
  <w:style w:type="character" w:customStyle="1" w:styleId="NoSpacingChar">
    <w:name w:val="No Spacing Char"/>
    <w:basedOn w:val="DefaultParagraphFont"/>
    <w:link w:val="NoSpacing"/>
    <w:uiPriority w:val="1"/>
    <w:locked/>
    <w:rsid w:val="00984EA4"/>
    <w:rPr>
      <w:rFonts w:ascii="Times New Roman" w:eastAsia="Times New Roman" w:hAnsi="Times New Roman" w:cs="Times New Roman"/>
      <w:lang w:val="en-US" w:eastAsia="ja-JP"/>
    </w:rPr>
  </w:style>
  <w:style w:type="paragraph" w:styleId="NoSpacing">
    <w:name w:val="No Spacing"/>
    <w:link w:val="NoSpacingChar"/>
    <w:uiPriority w:val="1"/>
    <w:qFormat/>
    <w:rsid w:val="00984EA4"/>
    <w:pPr>
      <w:spacing w:after="0" w:line="240" w:lineRule="auto"/>
    </w:pPr>
    <w:rPr>
      <w:rFonts w:ascii="Times New Roman" w:eastAsia="Times New Roman" w:hAnsi="Times New Roman" w:cs="Times New Roman"/>
      <w:lang w:val="en-US" w:eastAsia="ja-JP"/>
    </w:rPr>
  </w:style>
  <w:style w:type="paragraph" w:styleId="ListParagraph">
    <w:name w:val="List Paragraph"/>
    <w:basedOn w:val="Normal"/>
    <w:uiPriority w:val="34"/>
    <w:qFormat/>
    <w:rsid w:val="00984EA4"/>
    <w:pPr>
      <w:ind w:left="720"/>
      <w:contextualSpacing/>
    </w:pPr>
  </w:style>
  <w:style w:type="paragraph" w:customStyle="1" w:styleId="Default">
    <w:name w:val="Default"/>
    <w:rsid w:val="00984EA4"/>
    <w:pPr>
      <w:autoSpaceDE w:val="0"/>
      <w:autoSpaceDN w:val="0"/>
      <w:adjustRightInd w:val="0"/>
      <w:spacing w:after="0" w:line="240" w:lineRule="auto"/>
    </w:pPr>
    <w:rPr>
      <w:rFonts w:ascii="Calibri" w:eastAsia="Calibri" w:hAnsi="Calibri" w:cs="Calibri"/>
      <w:color w:val="000000"/>
      <w:sz w:val="24"/>
      <w:szCs w:val="24"/>
    </w:rPr>
  </w:style>
  <w:style w:type="table" w:styleId="TableGrid">
    <w:name w:val="Table Grid"/>
    <w:basedOn w:val="TableNormal"/>
    <w:uiPriority w:val="59"/>
    <w:rsid w:val="00984EA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4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EA4"/>
    <w:rPr>
      <w:rFonts w:ascii="Tahoma" w:eastAsia="Calibri" w:hAnsi="Tahoma" w:cs="Tahoma"/>
      <w:sz w:val="16"/>
      <w:szCs w:val="16"/>
    </w:rPr>
  </w:style>
  <w:style w:type="paragraph" w:styleId="Header">
    <w:name w:val="header"/>
    <w:basedOn w:val="Normal"/>
    <w:link w:val="HeaderChar"/>
    <w:uiPriority w:val="99"/>
    <w:unhideWhenUsed/>
    <w:rsid w:val="00F369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93E"/>
    <w:rPr>
      <w:rFonts w:ascii="Calibri" w:eastAsia="Calibri" w:hAnsi="Calibri" w:cs="Times New Roman"/>
    </w:rPr>
  </w:style>
  <w:style w:type="paragraph" w:styleId="Footer">
    <w:name w:val="footer"/>
    <w:basedOn w:val="Normal"/>
    <w:link w:val="FooterChar"/>
    <w:uiPriority w:val="99"/>
    <w:unhideWhenUsed/>
    <w:rsid w:val="00F369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93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EA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4EA4"/>
    <w:rPr>
      <w:color w:val="0000FF" w:themeColor="hyperlink"/>
      <w:u w:val="single"/>
    </w:rPr>
  </w:style>
  <w:style w:type="character" w:customStyle="1" w:styleId="NoSpacingChar">
    <w:name w:val="No Spacing Char"/>
    <w:basedOn w:val="DefaultParagraphFont"/>
    <w:link w:val="NoSpacing"/>
    <w:uiPriority w:val="1"/>
    <w:locked/>
    <w:rsid w:val="00984EA4"/>
    <w:rPr>
      <w:rFonts w:ascii="Times New Roman" w:eastAsia="Times New Roman" w:hAnsi="Times New Roman" w:cs="Times New Roman"/>
      <w:lang w:val="en-US" w:eastAsia="ja-JP"/>
    </w:rPr>
  </w:style>
  <w:style w:type="paragraph" w:styleId="NoSpacing">
    <w:name w:val="No Spacing"/>
    <w:link w:val="NoSpacingChar"/>
    <w:uiPriority w:val="1"/>
    <w:qFormat/>
    <w:rsid w:val="00984EA4"/>
    <w:pPr>
      <w:spacing w:after="0" w:line="240" w:lineRule="auto"/>
    </w:pPr>
    <w:rPr>
      <w:rFonts w:ascii="Times New Roman" w:eastAsia="Times New Roman" w:hAnsi="Times New Roman" w:cs="Times New Roman"/>
      <w:lang w:val="en-US" w:eastAsia="ja-JP"/>
    </w:rPr>
  </w:style>
  <w:style w:type="paragraph" w:styleId="ListParagraph">
    <w:name w:val="List Paragraph"/>
    <w:basedOn w:val="Normal"/>
    <w:uiPriority w:val="34"/>
    <w:qFormat/>
    <w:rsid w:val="00984EA4"/>
    <w:pPr>
      <w:ind w:left="720"/>
      <w:contextualSpacing/>
    </w:pPr>
  </w:style>
  <w:style w:type="paragraph" w:customStyle="1" w:styleId="Default">
    <w:name w:val="Default"/>
    <w:rsid w:val="00984EA4"/>
    <w:pPr>
      <w:autoSpaceDE w:val="0"/>
      <w:autoSpaceDN w:val="0"/>
      <w:adjustRightInd w:val="0"/>
      <w:spacing w:after="0" w:line="240" w:lineRule="auto"/>
    </w:pPr>
    <w:rPr>
      <w:rFonts w:ascii="Calibri" w:eastAsia="Calibri" w:hAnsi="Calibri" w:cs="Calibri"/>
      <w:color w:val="000000"/>
      <w:sz w:val="24"/>
      <w:szCs w:val="24"/>
    </w:rPr>
  </w:style>
  <w:style w:type="table" w:styleId="TableGrid">
    <w:name w:val="Table Grid"/>
    <w:basedOn w:val="TableNormal"/>
    <w:uiPriority w:val="59"/>
    <w:rsid w:val="00984EA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4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EA4"/>
    <w:rPr>
      <w:rFonts w:ascii="Tahoma" w:eastAsia="Calibri" w:hAnsi="Tahoma" w:cs="Tahoma"/>
      <w:sz w:val="16"/>
      <w:szCs w:val="16"/>
    </w:rPr>
  </w:style>
  <w:style w:type="paragraph" w:styleId="Header">
    <w:name w:val="header"/>
    <w:basedOn w:val="Normal"/>
    <w:link w:val="HeaderChar"/>
    <w:uiPriority w:val="99"/>
    <w:unhideWhenUsed/>
    <w:rsid w:val="00F369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93E"/>
    <w:rPr>
      <w:rFonts w:ascii="Calibri" w:eastAsia="Calibri" w:hAnsi="Calibri" w:cs="Times New Roman"/>
    </w:rPr>
  </w:style>
  <w:style w:type="paragraph" w:styleId="Footer">
    <w:name w:val="footer"/>
    <w:basedOn w:val="Normal"/>
    <w:link w:val="FooterChar"/>
    <w:uiPriority w:val="99"/>
    <w:unhideWhenUsed/>
    <w:rsid w:val="00F369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93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08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luestreamacademy.com/" TargetMode="External"/><Relationship Id="rId18" Type="http://schemas.openxmlformats.org/officeDocument/2006/relationships/hyperlink" Target="https://www.nmc.org.uk/globalassets/sitedocuments/standards-of-proficiency/nursing-associates/nursing-associates-proficiency-standards.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e-lfh.org.uk/programmes/" TargetMode="External"/><Relationship Id="rId17" Type="http://schemas.openxmlformats.org/officeDocument/2006/relationships/hyperlink" Target="http://www.cheshireandmerseysideprimarycareacademy.co.uk/index.php/education-training/learning-repository" TargetMode="External"/><Relationship Id="rId2" Type="http://schemas.openxmlformats.org/officeDocument/2006/relationships/numbering" Target="numbering.xml"/><Relationship Id="rId16" Type="http://schemas.openxmlformats.org/officeDocument/2006/relationships/hyperlink" Target="https://www.rcn.org.uk/clinical-topics/public-health/immunisation" TargetMode="External"/><Relationship Id="rId20" Type="http://schemas.openxmlformats.org/officeDocument/2006/relationships/hyperlink" Target="https://www.instituteforapprenticeships.org/apprenticeship-standards/nursing-associate-nmc-2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lias.co.uk/" TargetMode="External"/><Relationship Id="rId5" Type="http://schemas.openxmlformats.org/officeDocument/2006/relationships/settings" Target="settings.xml"/><Relationship Id="rId15" Type="http://schemas.openxmlformats.org/officeDocument/2006/relationships/hyperlink" Target="https://www.gov.uk/government/collections/immunisation-against-infectious-disease-the-green-book" TargetMode="External"/><Relationship Id="rId23" Type="http://schemas.openxmlformats.org/officeDocument/2006/relationships/theme" Target="theme/theme1.xml"/><Relationship Id="rId10" Type="http://schemas.openxmlformats.org/officeDocument/2006/relationships/hyperlink" Target="http://www.cheshireandmerseysideprimarycareacademy.co.uk/index.php/contact-us" TargetMode="External"/><Relationship Id="rId19" Type="http://schemas.openxmlformats.org/officeDocument/2006/relationships/hyperlink" Target="https://humbercoastandvale.org.uk/wp-content/uploads/2019/05/Nursing-Associates-in-Primary-Care.pdf" TargetMode="External"/><Relationship Id="rId4" Type="http://schemas.microsoft.com/office/2007/relationships/stylesWithEffects" Target="stylesWithEffects.xml"/><Relationship Id="rId9" Type="http://schemas.openxmlformats.org/officeDocument/2006/relationships/hyperlink" Target="http://www.cheshireandmerseysideprimarycareacademy.co.uk/index.php" TargetMode="External"/><Relationship Id="rId14" Type="http://schemas.openxmlformats.org/officeDocument/2006/relationships/hyperlink" Target="http://www.skillsplatform.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2020-06-05T00:00:00</PublishDate>
  <Abstract> The Nursing Associate role is regulated by the Nursing and Midwifery Council (NMC), and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1239</Words>
  <Characters>7067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Nursing Associate Education and Training Support Pack</vt:lpstr>
    </vt:vector>
  </TitlesOfParts>
  <Company/>
  <LinksUpToDate>false</LinksUpToDate>
  <CharactersWithSpaces>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Associate Education and Training Support Pack</dc:title>
  <dc:subject>Sub-category of Governance Framework for Training and Education in Primary Care</dc:subject>
  <dc:creator>Heather Glover Cheshire Training Hub</dc:creator>
  <cp:lastModifiedBy>Falan Barton</cp:lastModifiedBy>
  <cp:revision>2</cp:revision>
  <dcterms:created xsi:type="dcterms:W3CDTF">2021-02-16T10:16:00Z</dcterms:created>
  <dcterms:modified xsi:type="dcterms:W3CDTF">2021-02-16T10:16:00Z</dcterms:modified>
</cp:coreProperties>
</file>