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385325553"/>
        <w:docPartObj>
          <w:docPartGallery w:val="Cover Pages"/>
          <w:docPartUnique/>
        </w:docPartObj>
      </w:sdtPr>
      <w:sdtEndPr>
        <w:rPr>
          <w:rFonts w:asciiTheme="minorHAnsi" w:eastAsiaTheme="minorHAnsi" w:hAnsiTheme="minorHAnsi" w:cstheme="minorBidi"/>
          <w:b/>
          <w:caps w:val="0"/>
          <w:sz w:val="28"/>
          <w:szCs w:val="24"/>
          <w:u w:val="single"/>
        </w:rPr>
      </w:sdtEndPr>
      <w:sdtContent>
        <w:tbl>
          <w:tblPr>
            <w:tblW w:w="5000" w:type="pct"/>
            <w:jc w:val="center"/>
            <w:tblLook w:val="04A0" w:firstRow="1" w:lastRow="0" w:firstColumn="1" w:lastColumn="0" w:noHBand="0" w:noVBand="1"/>
          </w:tblPr>
          <w:tblGrid>
            <w:gridCol w:w="9242"/>
          </w:tblGrid>
          <w:tr w:rsidR="00EB23E0">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EB23E0" w:rsidRDefault="00EB23E0">
                    <w:pPr>
                      <w:pStyle w:val="NoSpacing"/>
                      <w:jc w:val="center"/>
                      <w:rPr>
                        <w:rFonts w:asciiTheme="majorHAnsi" w:eastAsiaTheme="majorEastAsia" w:hAnsiTheme="majorHAnsi" w:cstheme="majorBidi"/>
                        <w:caps/>
                      </w:rPr>
                    </w:pPr>
                    <w:r w:rsidRPr="00EB23E0">
                      <w:rPr>
                        <w:rFonts w:asciiTheme="majorHAnsi" w:eastAsiaTheme="majorEastAsia" w:hAnsiTheme="majorHAnsi" w:cstheme="majorBidi"/>
                        <w:caps/>
                      </w:rPr>
                      <w:t>CHESHIRE TRAINING HUB</w:t>
                    </w:r>
                  </w:p>
                </w:tc>
              </w:sdtContent>
            </w:sdt>
          </w:tr>
          <w:tr w:rsidR="00EB23E0" w:rsidTr="00D1691B">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shd w:val="clear" w:color="auto" w:fill="CCC0D9" w:themeFill="accent4" w:themeFillTint="66"/>
                    <w:vAlign w:val="center"/>
                  </w:tcPr>
                  <w:p w:rsidR="00EB23E0" w:rsidRDefault="00EB23E0">
                    <w:pPr>
                      <w:pStyle w:val="NoSpacing"/>
                      <w:jc w:val="center"/>
                      <w:rPr>
                        <w:rFonts w:asciiTheme="majorHAnsi" w:eastAsiaTheme="majorEastAsia" w:hAnsiTheme="majorHAnsi" w:cstheme="majorBidi"/>
                        <w:sz w:val="80"/>
                        <w:szCs w:val="80"/>
                      </w:rPr>
                    </w:pPr>
                    <w:r w:rsidRPr="00EB23E0">
                      <w:rPr>
                        <w:rFonts w:asciiTheme="majorHAnsi" w:eastAsiaTheme="majorEastAsia" w:hAnsiTheme="majorHAnsi" w:cstheme="majorBidi"/>
                        <w:sz w:val="80"/>
                        <w:szCs w:val="80"/>
                      </w:rPr>
                      <w:t>General Practice Nurse Education and Training Support Pack</w:t>
                    </w:r>
                  </w:p>
                </w:tc>
              </w:sdtContent>
            </w:sdt>
          </w:tr>
          <w:tr w:rsidR="00EB23E0">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B23E0" w:rsidRDefault="00EB23E0">
                    <w:pPr>
                      <w:pStyle w:val="NoSpacing"/>
                      <w:jc w:val="center"/>
                      <w:rPr>
                        <w:rFonts w:asciiTheme="majorHAnsi" w:eastAsiaTheme="majorEastAsia" w:hAnsiTheme="majorHAnsi" w:cstheme="majorBidi"/>
                        <w:sz w:val="44"/>
                        <w:szCs w:val="44"/>
                      </w:rPr>
                    </w:pPr>
                    <w:r w:rsidRPr="00EB23E0">
                      <w:rPr>
                        <w:rFonts w:asciiTheme="majorHAnsi" w:eastAsiaTheme="majorEastAsia" w:hAnsiTheme="majorHAnsi" w:cstheme="majorBidi"/>
                        <w:sz w:val="44"/>
                        <w:szCs w:val="44"/>
                      </w:rPr>
                      <w:t>Sub-category of Governance Framework for Training and Education in Primary Care</w:t>
                    </w:r>
                  </w:p>
                </w:tc>
              </w:sdtContent>
            </w:sdt>
          </w:tr>
          <w:tr w:rsidR="00EB23E0">
            <w:trPr>
              <w:trHeight w:val="360"/>
              <w:jc w:val="center"/>
            </w:trPr>
            <w:tc>
              <w:tcPr>
                <w:tcW w:w="5000" w:type="pct"/>
                <w:vAlign w:val="center"/>
              </w:tcPr>
              <w:p w:rsidR="00EB23E0" w:rsidRDefault="00EB23E0">
                <w:pPr>
                  <w:pStyle w:val="NoSpacing"/>
                  <w:jc w:val="center"/>
                </w:pPr>
              </w:p>
            </w:tc>
          </w:tr>
          <w:tr w:rsidR="00EB23E0">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EB23E0" w:rsidRDefault="001709DB" w:rsidP="001709DB">
                    <w:pPr>
                      <w:pStyle w:val="NoSpacing"/>
                      <w:jc w:val="center"/>
                      <w:rPr>
                        <w:b/>
                        <w:bCs/>
                      </w:rPr>
                    </w:pPr>
                    <w:r>
                      <w:rPr>
                        <w:b/>
                        <w:bCs/>
                        <w:lang w:val="en-GB"/>
                      </w:rPr>
                      <w:t>Heather Glover Cheshire Training Hub</w:t>
                    </w:r>
                  </w:p>
                </w:tc>
              </w:sdtContent>
            </w:sdt>
          </w:tr>
          <w:tr w:rsidR="00EB23E0">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0-05-15T00:00:00Z">
                  <w:dateFormat w:val="M/d/yyyy"/>
                  <w:lid w:val="en-US"/>
                  <w:storeMappedDataAs w:val="dateTime"/>
                  <w:calendar w:val="gregorian"/>
                </w:date>
              </w:sdtPr>
              <w:sdtEndPr/>
              <w:sdtContent>
                <w:tc>
                  <w:tcPr>
                    <w:tcW w:w="5000" w:type="pct"/>
                    <w:vAlign w:val="center"/>
                  </w:tcPr>
                  <w:p w:rsidR="00EB23E0" w:rsidRDefault="00EB23E0">
                    <w:pPr>
                      <w:pStyle w:val="NoSpacing"/>
                      <w:jc w:val="center"/>
                      <w:rPr>
                        <w:b/>
                        <w:bCs/>
                      </w:rPr>
                    </w:pPr>
                    <w:r>
                      <w:rPr>
                        <w:b/>
                        <w:bCs/>
                      </w:rPr>
                      <w:t>5/15/2020</w:t>
                    </w:r>
                  </w:p>
                </w:tc>
              </w:sdtContent>
            </w:sdt>
          </w:tr>
        </w:tbl>
        <w:p w:rsidR="00EB23E0" w:rsidRDefault="00EB23E0"/>
        <w:p w:rsidR="00EB23E0" w:rsidRDefault="00EB23E0"/>
        <w:tbl>
          <w:tblPr>
            <w:tblpPr w:leftFromText="187" w:rightFromText="187" w:horzAnchor="margin" w:tblpXSpec="center" w:tblpYSpec="bottom"/>
            <w:tblW w:w="5000" w:type="pct"/>
            <w:tblLook w:val="04A0" w:firstRow="1" w:lastRow="0" w:firstColumn="1" w:lastColumn="0" w:noHBand="0" w:noVBand="1"/>
          </w:tblPr>
          <w:tblGrid>
            <w:gridCol w:w="9242"/>
          </w:tblGrid>
          <w:tr w:rsidR="00EB23E0">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EB23E0" w:rsidRDefault="00686568" w:rsidP="00686568">
                    <w:pPr>
                      <w:pStyle w:val="NoSpacing"/>
                    </w:pPr>
                    <w:r>
                      <w:t>This is a support pack to work towards</w:t>
                    </w:r>
                    <w:r w:rsidRPr="00686568">
                      <w:t xml:space="preserve"> </w:t>
                    </w:r>
                    <w:r>
                      <w:t>a standardised approach</w:t>
                    </w:r>
                    <w:r w:rsidRPr="00686568">
                      <w:t xml:space="preserve"> that will benefit all nurses making the transition into General Practice. This Career Framework for GPN can also provide a clear journey through the potential career path as a nurse in the primary care setting, beyond the induction and pre</w:t>
                    </w:r>
                    <w:r>
                      <w:t>ceptorship period and through to more advanced roles.</w:t>
                    </w:r>
                  </w:p>
                </w:tc>
              </w:sdtContent>
            </w:sdt>
          </w:tr>
        </w:tbl>
        <w:p w:rsidR="00EB23E0" w:rsidRDefault="00223F7F">
          <w:pPr>
            <w:rPr>
              <w:b/>
              <w:sz w:val="24"/>
            </w:rPr>
          </w:pPr>
          <w:r>
            <w:rPr>
              <w:b/>
              <w:sz w:val="24"/>
            </w:rPr>
            <w:t xml:space="preserve">Page 1. </w:t>
          </w:r>
          <w:r w:rsidR="00960212">
            <w:rPr>
              <w:b/>
              <w:sz w:val="24"/>
            </w:rPr>
            <w:t>Introduction</w:t>
          </w:r>
        </w:p>
        <w:p w:rsidR="00960212" w:rsidRDefault="009D72E4">
          <w:pPr>
            <w:rPr>
              <w:b/>
              <w:sz w:val="24"/>
            </w:rPr>
          </w:pPr>
          <w:r>
            <w:rPr>
              <w:b/>
              <w:sz w:val="24"/>
            </w:rPr>
            <w:t>Page 2</w:t>
          </w:r>
          <w:r w:rsidR="00223F7F">
            <w:rPr>
              <w:b/>
              <w:sz w:val="24"/>
            </w:rPr>
            <w:t xml:space="preserve">. </w:t>
          </w:r>
          <w:r w:rsidR="00960212">
            <w:rPr>
              <w:b/>
              <w:sz w:val="24"/>
            </w:rPr>
            <w:t>Preceptorship</w:t>
          </w:r>
        </w:p>
        <w:p w:rsidR="00960212" w:rsidRDefault="00223F7F">
          <w:pPr>
            <w:rPr>
              <w:b/>
              <w:sz w:val="24"/>
            </w:rPr>
          </w:pPr>
          <w:r>
            <w:rPr>
              <w:b/>
              <w:sz w:val="24"/>
            </w:rPr>
            <w:t xml:space="preserve">Page 2. </w:t>
          </w:r>
          <w:r w:rsidR="00960212">
            <w:rPr>
              <w:b/>
              <w:sz w:val="24"/>
            </w:rPr>
            <w:t>Supervisors and Assessors</w:t>
          </w:r>
        </w:p>
        <w:p w:rsidR="00960212" w:rsidRDefault="00223F7F">
          <w:pPr>
            <w:rPr>
              <w:b/>
              <w:sz w:val="24"/>
            </w:rPr>
          </w:pPr>
          <w:r>
            <w:rPr>
              <w:b/>
              <w:sz w:val="24"/>
            </w:rPr>
            <w:t xml:space="preserve">Page 5. </w:t>
          </w:r>
          <w:r w:rsidR="009D72E4">
            <w:rPr>
              <w:b/>
              <w:sz w:val="24"/>
            </w:rPr>
            <w:t>Continued Professional Development</w:t>
          </w:r>
        </w:p>
        <w:p w:rsidR="00960212" w:rsidRDefault="00223F7F">
          <w:pPr>
            <w:rPr>
              <w:b/>
              <w:sz w:val="24"/>
            </w:rPr>
          </w:pPr>
          <w:r>
            <w:rPr>
              <w:b/>
              <w:sz w:val="24"/>
            </w:rPr>
            <w:t xml:space="preserve">Page 5. </w:t>
          </w:r>
          <w:r w:rsidR="00960212">
            <w:rPr>
              <w:b/>
              <w:sz w:val="24"/>
            </w:rPr>
            <w:t>Career Progression</w:t>
          </w:r>
        </w:p>
        <w:p w:rsidR="005C66B0" w:rsidRPr="00960212" w:rsidRDefault="005C66B0">
          <w:pPr>
            <w:rPr>
              <w:b/>
              <w:sz w:val="24"/>
            </w:rPr>
          </w:pPr>
          <w:r>
            <w:rPr>
              <w:b/>
              <w:sz w:val="24"/>
            </w:rPr>
            <w:t>Page 6. Professional Development Table</w:t>
          </w:r>
        </w:p>
        <w:p w:rsidR="00EB23E0" w:rsidRDefault="00EB23E0">
          <w:pPr>
            <w:rPr>
              <w:b/>
              <w:sz w:val="28"/>
              <w:szCs w:val="24"/>
              <w:u w:val="single"/>
            </w:rPr>
          </w:pPr>
          <w:r>
            <w:rPr>
              <w:b/>
              <w:sz w:val="28"/>
              <w:szCs w:val="24"/>
              <w:u w:val="single"/>
            </w:rPr>
            <w:br w:type="page"/>
          </w:r>
        </w:p>
      </w:sdtContent>
    </w:sdt>
    <w:p w:rsidR="00D85F6D" w:rsidRDefault="00D85F6D" w:rsidP="00D85F6D">
      <w:pPr>
        <w:jc w:val="center"/>
        <w:rPr>
          <w:b/>
          <w:sz w:val="28"/>
          <w:szCs w:val="24"/>
          <w:u w:val="single"/>
        </w:rPr>
      </w:pPr>
      <w:r>
        <w:rPr>
          <w:b/>
          <w:sz w:val="28"/>
          <w:szCs w:val="24"/>
          <w:u w:val="single"/>
        </w:rPr>
        <w:lastRenderedPageBreak/>
        <w:t>General Practice Nurse Education and Training Support Pack</w:t>
      </w:r>
    </w:p>
    <w:p w:rsidR="00D85F6D" w:rsidRDefault="00D85F6D" w:rsidP="00D85F6D">
      <w:pPr>
        <w:rPr>
          <w:b/>
          <w:sz w:val="28"/>
          <w:szCs w:val="24"/>
          <w:u w:val="single"/>
        </w:rPr>
      </w:pPr>
    </w:p>
    <w:p w:rsidR="00D85F6D" w:rsidRPr="00A46522" w:rsidRDefault="00D85F6D" w:rsidP="00D85F6D">
      <w:pPr>
        <w:rPr>
          <w:b/>
          <w:sz w:val="28"/>
          <w:szCs w:val="24"/>
          <w:u w:val="single"/>
        </w:rPr>
      </w:pPr>
      <w:r w:rsidRPr="00A46522">
        <w:rPr>
          <w:b/>
          <w:sz w:val="28"/>
          <w:szCs w:val="24"/>
          <w:u w:val="single"/>
        </w:rPr>
        <w:t>Introduction</w:t>
      </w:r>
    </w:p>
    <w:p w:rsidR="0099790C" w:rsidRPr="0057027D" w:rsidRDefault="00153C5B" w:rsidP="009710E1">
      <w:hyperlink r:id="rId9" w:history="1">
        <w:r w:rsidR="00E504BA" w:rsidRPr="00E1138E">
          <w:rPr>
            <w:rStyle w:val="Hyperlink"/>
          </w:rPr>
          <w:t>The</w:t>
        </w:r>
        <w:r w:rsidR="009710E1" w:rsidRPr="00E1138E">
          <w:rPr>
            <w:rStyle w:val="Hyperlink"/>
          </w:rPr>
          <w:t xml:space="preserve"> </w:t>
        </w:r>
        <w:r w:rsidR="00E1138E" w:rsidRPr="00E1138E">
          <w:rPr>
            <w:rStyle w:val="Hyperlink"/>
          </w:rPr>
          <w:t>Cheshire Training Hub</w:t>
        </w:r>
      </w:hyperlink>
      <w:r w:rsidR="00E1138E">
        <w:t xml:space="preserve"> (CMTH)</w:t>
      </w:r>
      <w:r w:rsidR="009710E1">
        <w:t xml:space="preserve">, </w:t>
      </w:r>
      <w:r w:rsidR="00E504BA">
        <w:t>developed through 2018, consists of</w:t>
      </w:r>
      <w:r w:rsidR="009710E1">
        <w:t xml:space="preserve"> </w:t>
      </w:r>
      <w:r w:rsidR="004D6A83">
        <w:t>5</w:t>
      </w:r>
      <w:r w:rsidR="009710E1">
        <w:t xml:space="preserve"> </w:t>
      </w:r>
      <w:r w:rsidR="00B11DB8">
        <w:t xml:space="preserve">Locality </w:t>
      </w:r>
      <w:hyperlink r:id="rId10" w:history="1">
        <w:r w:rsidR="00B11DB8" w:rsidRPr="00E1138E">
          <w:rPr>
            <w:rStyle w:val="Hyperlink"/>
            <w:rFonts w:ascii="Calibri" w:hAnsi="Calibri" w:cs="Calibri"/>
            <w:shd w:val="clear" w:color="auto" w:fill="FFFFFF"/>
          </w:rPr>
          <w:t>Training Hubs</w:t>
        </w:r>
      </w:hyperlink>
      <w:r w:rsidR="00B11DB8">
        <w:rPr>
          <w:rFonts w:ascii="Calibri" w:hAnsi="Calibri" w:cs="Calibri"/>
          <w:color w:val="0000FF"/>
          <w:u w:val="single"/>
          <w:shd w:val="clear" w:color="auto" w:fill="FFFFFF"/>
        </w:rPr>
        <w:t xml:space="preserve"> </w:t>
      </w:r>
      <w:r w:rsidR="00B11DB8" w:rsidRPr="003003A4">
        <w:rPr>
          <w:rFonts w:ascii="Calibri" w:hAnsi="Calibri" w:cs="Calibri"/>
          <w:shd w:val="clear" w:color="auto" w:fill="FFFFFF"/>
        </w:rPr>
        <w:t>(LTH</w:t>
      </w:r>
      <w:r w:rsidR="00B11DB8">
        <w:rPr>
          <w:rFonts w:ascii="Calibri" w:hAnsi="Calibri" w:cs="Calibri"/>
          <w:shd w:val="clear" w:color="auto" w:fill="FFFFFF"/>
        </w:rPr>
        <w:t>)</w:t>
      </w:r>
      <w:r w:rsidR="009710E1">
        <w:t xml:space="preserve"> in Cheshire and Merseyside </w:t>
      </w:r>
      <w:r w:rsidR="00E504BA">
        <w:t>which</w:t>
      </w:r>
      <w:r w:rsidR="00B11DB8">
        <w:t xml:space="preserve"> work</w:t>
      </w:r>
      <w:r w:rsidR="009710E1">
        <w:t xml:space="preserve"> collaboratively.  </w:t>
      </w:r>
      <w:r w:rsidR="0099790C">
        <w:t>T</w:t>
      </w:r>
      <w:r w:rsidR="009710E1">
        <w:t>he</w:t>
      </w:r>
      <w:r w:rsidR="00B11DB8">
        <w:rPr>
          <w:rFonts w:ascii="Calibri" w:hAnsi="Calibri" w:cs="Calibri"/>
          <w:shd w:val="clear" w:color="auto" w:fill="FFFFFF"/>
        </w:rPr>
        <w:t>y</w:t>
      </w:r>
      <w:r w:rsidR="003003A4">
        <w:rPr>
          <w:rFonts w:ascii="Calibri" w:hAnsi="Calibri" w:cs="Calibri"/>
          <w:shd w:val="clear" w:color="auto" w:fill="FFFFFF"/>
        </w:rPr>
        <w:t xml:space="preserve"> </w:t>
      </w:r>
      <w:r w:rsidR="009710E1" w:rsidRPr="009710E1">
        <w:rPr>
          <w:rFonts w:ascii="Calibri" w:hAnsi="Calibri" w:cs="Calibri"/>
          <w:shd w:val="clear" w:color="auto" w:fill="FFFFFF"/>
        </w:rPr>
        <w:t>are a resource</w:t>
      </w:r>
      <w:r w:rsidR="009710E1">
        <w:rPr>
          <w:rFonts w:ascii="Calibri" w:hAnsi="Calibri" w:cs="Calibri"/>
          <w:shd w:val="clear" w:color="auto" w:fill="FFFFFF"/>
        </w:rPr>
        <w:t xml:space="preserve"> of</w:t>
      </w:r>
      <w:r w:rsidR="009710E1">
        <w:t xml:space="preserve"> further information and gu</w:t>
      </w:r>
      <w:r w:rsidR="00B11DB8">
        <w:t>idance for each primary care network</w:t>
      </w:r>
      <w:r w:rsidR="009710E1">
        <w:t>, in o</w:t>
      </w:r>
      <w:r w:rsidR="00B11DB8">
        <w:t>rder to engage and develop the</w:t>
      </w:r>
      <w:r w:rsidR="009710E1">
        <w:t xml:space="preserve"> workforce to ensure future success and sustainability. The </w:t>
      </w:r>
      <w:r w:rsidR="0099790C">
        <w:t>purpose of this training support pack is to guide practice managers and employees, and assist</w:t>
      </w:r>
      <w:r w:rsidR="009710E1">
        <w:t xml:space="preserve"> in the successful development of the </w:t>
      </w:r>
      <w:r w:rsidR="00233F56">
        <w:t>general practice nurse (GPN), based on initiatives referred to throughout.</w:t>
      </w:r>
    </w:p>
    <w:p w:rsidR="00D85F6D" w:rsidRDefault="003003A4" w:rsidP="00D85F6D">
      <w:pPr>
        <w:rPr>
          <w:color w:val="4F6228" w:themeColor="accent3" w:themeShade="80"/>
          <w:szCs w:val="24"/>
        </w:rPr>
      </w:pPr>
      <w:r>
        <w:rPr>
          <w:szCs w:val="24"/>
        </w:rPr>
        <w:t>I</w:t>
      </w:r>
      <w:r w:rsidR="00D85F6D" w:rsidRPr="00EC6CA6">
        <w:rPr>
          <w:szCs w:val="24"/>
        </w:rPr>
        <w:t>t has been identified that there are significant variations between</w:t>
      </w:r>
      <w:r w:rsidR="00D85F6D">
        <w:rPr>
          <w:szCs w:val="24"/>
        </w:rPr>
        <w:t xml:space="preserve"> </w:t>
      </w:r>
      <w:r w:rsidR="00D85F6D" w:rsidRPr="00EC6CA6">
        <w:rPr>
          <w:szCs w:val="24"/>
        </w:rPr>
        <w:t xml:space="preserve">different practices in relation to </w:t>
      </w:r>
      <w:r w:rsidR="00D85F6D">
        <w:rPr>
          <w:szCs w:val="24"/>
        </w:rPr>
        <w:t>the</w:t>
      </w:r>
      <w:r w:rsidR="00D85F6D" w:rsidRPr="00EC6CA6">
        <w:rPr>
          <w:szCs w:val="24"/>
        </w:rPr>
        <w:t xml:space="preserve"> induction of GPNs </w:t>
      </w:r>
      <w:r>
        <w:rPr>
          <w:szCs w:val="24"/>
        </w:rPr>
        <w:t>to this</w:t>
      </w:r>
      <w:r w:rsidR="00D85F6D" w:rsidRPr="00EC6CA6">
        <w:rPr>
          <w:szCs w:val="24"/>
        </w:rPr>
        <w:t xml:space="preserve"> work environment.</w:t>
      </w:r>
      <w:r w:rsidR="00D85F6D">
        <w:rPr>
          <w:szCs w:val="24"/>
        </w:rPr>
        <w:t xml:space="preserve"> The</w:t>
      </w:r>
      <w:r w:rsidR="00D85F6D" w:rsidRPr="00EC6CA6">
        <w:rPr>
          <w:szCs w:val="24"/>
        </w:rPr>
        <w:t xml:space="preserve"> </w:t>
      </w:r>
      <w:r w:rsidR="00B11DB8">
        <w:rPr>
          <w:szCs w:val="24"/>
        </w:rPr>
        <w:t>GPN</w:t>
      </w:r>
      <w:r>
        <w:rPr>
          <w:szCs w:val="24"/>
        </w:rPr>
        <w:t xml:space="preserve"> Education Network </w:t>
      </w:r>
      <w:hyperlink r:id="rId11" w:history="1">
        <w:r w:rsidRPr="003B26EF">
          <w:rPr>
            <w:rStyle w:val="Hyperlink"/>
            <w:szCs w:val="24"/>
          </w:rPr>
          <w:t>https://gpnen.org.uk/</w:t>
        </w:r>
      </w:hyperlink>
      <w:r w:rsidR="00E504BA">
        <w:rPr>
          <w:szCs w:val="24"/>
        </w:rPr>
        <w:t xml:space="preserve"> was developed in response to the </w:t>
      </w:r>
      <w:r w:rsidR="00D85F6D" w:rsidRPr="00EC6CA6">
        <w:rPr>
          <w:szCs w:val="24"/>
        </w:rPr>
        <w:t>GPN10</w:t>
      </w:r>
      <w:r w:rsidR="00D85F6D">
        <w:rPr>
          <w:szCs w:val="24"/>
        </w:rPr>
        <w:t xml:space="preserve"> </w:t>
      </w:r>
      <w:r w:rsidR="00D85F6D" w:rsidRPr="00EC6CA6">
        <w:rPr>
          <w:szCs w:val="24"/>
        </w:rPr>
        <w:t>P</w:t>
      </w:r>
      <w:r w:rsidR="00D85F6D">
        <w:rPr>
          <w:szCs w:val="24"/>
        </w:rPr>
        <w:t>oint Plan</w:t>
      </w:r>
      <w:r w:rsidR="00E504BA">
        <w:rPr>
          <w:szCs w:val="24"/>
        </w:rPr>
        <w:t>,</w:t>
      </w:r>
      <w:r w:rsidR="00D85F6D">
        <w:rPr>
          <w:szCs w:val="24"/>
        </w:rPr>
        <w:t xml:space="preserve"> </w:t>
      </w:r>
      <w:r w:rsidR="00E504BA">
        <w:rPr>
          <w:szCs w:val="24"/>
        </w:rPr>
        <w:t xml:space="preserve">which </w:t>
      </w:r>
      <w:r w:rsidR="00D85F6D" w:rsidRPr="00EC6CA6">
        <w:rPr>
          <w:szCs w:val="24"/>
        </w:rPr>
        <w:t>recognises the need to establish a national standard</w:t>
      </w:r>
      <w:r w:rsidR="00E504BA">
        <w:rPr>
          <w:szCs w:val="24"/>
        </w:rPr>
        <w:t>,</w:t>
      </w:r>
      <w:r w:rsidR="00D85F6D" w:rsidRPr="00EC6CA6">
        <w:rPr>
          <w:szCs w:val="24"/>
        </w:rPr>
        <w:t xml:space="preserve"> </w:t>
      </w:r>
      <w:r w:rsidR="00E504BA">
        <w:rPr>
          <w:szCs w:val="24"/>
        </w:rPr>
        <w:t>and</w:t>
      </w:r>
      <w:r w:rsidR="00D85F6D" w:rsidRPr="00EC6CA6">
        <w:rPr>
          <w:szCs w:val="24"/>
        </w:rPr>
        <w:t xml:space="preserve"> will benefit</w:t>
      </w:r>
      <w:r w:rsidR="00D85F6D">
        <w:rPr>
          <w:szCs w:val="24"/>
        </w:rPr>
        <w:t xml:space="preserve"> </w:t>
      </w:r>
      <w:r w:rsidR="00D85F6D" w:rsidRPr="00EC6CA6">
        <w:rPr>
          <w:szCs w:val="24"/>
        </w:rPr>
        <w:t xml:space="preserve">all nurses </w:t>
      </w:r>
      <w:r w:rsidR="00E504BA">
        <w:rPr>
          <w:szCs w:val="24"/>
        </w:rPr>
        <w:t>choosing a GPN career</w:t>
      </w:r>
      <w:r w:rsidR="00D85F6D" w:rsidRPr="00EC6CA6">
        <w:rPr>
          <w:szCs w:val="24"/>
        </w:rPr>
        <w:t>.</w:t>
      </w:r>
      <w:r>
        <w:rPr>
          <w:szCs w:val="24"/>
        </w:rPr>
        <w:t xml:space="preserve"> </w:t>
      </w:r>
      <w:r w:rsidRPr="00F07606">
        <w:rPr>
          <w:szCs w:val="24"/>
        </w:rPr>
        <w:t>The</w:t>
      </w:r>
      <w:r w:rsidR="00D85F6D" w:rsidRPr="00F07606">
        <w:rPr>
          <w:szCs w:val="24"/>
        </w:rPr>
        <w:t xml:space="preserve"> </w:t>
      </w:r>
      <w:r w:rsidR="00F07606" w:rsidRPr="00F07606">
        <w:rPr>
          <w:szCs w:val="24"/>
        </w:rPr>
        <w:t xml:space="preserve">following link </w:t>
      </w:r>
      <w:r w:rsidR="00D85F6D" w:rsidRPr="00F07606">
        <w:rPr>
          <w:szCs w:val="24"/>
        </w:rPr>
        <w:t>can provide a clear journey through the potential career path as a nur</w:t>
      </w:r>
      <w:r w:rsidRPr="00F07606">
        <w:rPr>
          <w:szCs w:val="24"/>
        </w:rPr>
        <w:t>se in the primary care setting.</w:t>
      </w:r>
      <w:r w:rsidR="00F07606" w:rsidRPr="00F07606">
        <w:t xml:space="preserve"> </w:t>
      </w:r>
      <w:hyperlink r:id="rId12" w:history="1">
        <w:r w:rsidR="00F07606" w:rsidRPr="00F07606">
          <w:rPr>
            <w:rStyle w:val="Hyperlink"/>
            <w:color w:val="auto"/>
            <w:szCs w:val="24"/>
          </w:rPr>
          <w:t>https://www.hee.nhs.uk/sites/default/files/documents/Interactive%20version%20of%20the%20framework_1.pdf</w:t>
        </w:r>
      </w:hyperlink>
    </w:p>
    <w:p w:rsidR="00F07606" w:rsidRPr="00F07606" w:rsidRDefault="00B11DB8" w:rsidP="00D85F6D">
      <w:pPr>
        <w:rPr>
          <w:szCs w:val="24"/>
        </w:rPr>
      </w:pPr>
      <w:r>
        <w:rPr>
          <w:szCs w:val="24"/>
        </w:rPr>
        <w:t>Throughout, there is</w:t>
      </w:r>
      <w:r w:rsidR="00D85F6D" w:rsidRPr="00EC6CA6">
        <w:rPr>
          <w:szCs w:val="24"/>
        </w:rPr>
        <w:t xml:space="preserve"> guidance </w:t>
      </w:r>
      <w:r w:rsidR="00D85F6D">
        <w:rPr>
          <w:szCs w:val="24"/>
        </w:rPr>
        <w:t>to help</w:t>
      </w:r>
      <w:r w:rsidR="00D85F6D" w:rsidRPr="00EC6CA6">
        <w:rPr>
          <w:szCs w:val="24"/>
        </w:rPr>
        <w:t xml:space="preserve"> shape the</w:t>
      </w:r>
      <w:r w:rsidR="00D85F6D">
        <w:rPr>
          <w:szCs w:val="24"/>
        </w:rPr>
        <w:t xml:space="preserve"> experience</w:t>
      </w:r>
      <w:r w:rsidR="00D85F6D" w:rsidRPr="00EC6CA6">
        <w:rPr>
          <w:szCs w:val="24"/>
        </w:rPr>
        <w:t xml:space="preserve"> of new </w:t>
      </w:r>
      <w:r>
        <w:rPr>
          <w:szCs w:val="24"/>
        </w:rPr>
        <w:t>GPNs</w:t>
      </w:r>
      <w:r w:rsidR="00D85F6D" w:rsidRPr="00EC6CA6">
        <w:rPr>
          <w:szCs w:val="24"/>
        </w:rPr>
        <w:t xml:space="preserve"> as they p</w:t>
      </w:r>
      <w:r>
        <w:rPr>
          <w:szCs w:val="24"/>
        </w:rPr>
        <w:t>rogress and develop their career</w:t>
      </w:r>
      <w:r w:rsidR="00D85F6D">
        <w:rPr>
          <w:szCs w:val="24"/>
        </w:rPr>
        <w:t>,</w:t>
      </w:r>
      <w:r w:rsidR="00D85F6D" w:rsidRPr="00EC6CA6">
        <w:rPr>
          <w:szCs w:val="24"/>
        </w:rPr>
        <w:t xml:space="preserve"> which </w:t>
      </w:r>
      <w:r w:rsidR="00D85F6D">
        <w:rPr>
          <w:szCs w:val="24"/>
        </w:rPr>
        <w:t>can be challenging</w:t>
      </w:r>
      <w:r w:rsidR="00D85F6D" w:rsidRPr="00EC6CA6">
        <w:rPr>
          <w:szCs w:val="24"/>
        </w:rPr>
        <w:t xml:space="preserve"> </w:t>
      </w:r>
      <w:r w:rsidR="00D85F6D">
        <w:rPr>
          <w:szCs w:val="24"/>
        </w:rPr>
        <w:t xml:space="preserve">to </w:t>
      </w:r>
      <w:r w:rsidR="00D85F6D" w:rsidRPr="00EC6CA6">
        <w:rPr>
          <w:szCs w:val="24"/>
        </w:rPr>
        <w:t>them with new ways of</w:t>
      </w:r>
      <w:r w:rsidR="00D85F6D">
        <w:rPr>
          <w:szCs w:val="24"/>
        </w:rPr>
        <w:t xml:space="preserve"> </w:t>
      </w:r>
      <w:r w:rsidR="00D85F6D" w:rsidRPr="00EC6CA6">
        <w:rPr>
          <w:szCs w:val="24"/>
        </w:rPr>
        <w:t>working.</w:t>
      </w:r>
      <w:r w:rsidR="00D85F6D">
        <w:rPr>
          <w:szCs w:val="24"/>
        </w:rPr>
        <w:t xml:space="preserve"> The </w:t>
      </w:r>
      <w:hyperlink r:id="rId13" w:history="1">
        <w:r w:rsidR="00D85F6D">
          <w:rPr>
            <w:rStyle w:val="Hyperlink"/>
            <w:color w:val="auto"/>
            <w:szCs w:val="24"/>
          </w:rPr>
          <w:t>Induction</w:t>
        </w:r>
        <w:r w:rsidR="001709DB">
          <w:rPr>
            <w:rStyle w:val="Hyperlink"/>
            <w:color w:val="auto"/>
            <w:szCs w:val="24"/>
          </w:rPr>
          <w:t xml:space="preserve"> </w:t>
        </w:r>
        <w:r w:rsidR="00D85F6D">
          <w:rPr>
            <w:rStyle w:val="Hyperlink"/>
            <w:color w:val="auto"/>
            <w:szCs w:val="24"/>
          </w:rPr>
          <w:t xml:space="preserve">Template for General Practice Nursing </w:t>
        </w:r>
      </w:hyperlink>
      <w:r w:rsidR="00D85F6D">
        <w:rPr>
          <w:szCs w:val="24"/>
        </w:rPr>
        <w:t xml:space="preserve"> provides a good example of a structured induction and training programme for GPNs at the beginning of their career. </w:t>
      </w:r>
      <w:r w:rsidR="00F07606" w:rsidRPr="00F07606">
        <w:rPr>
          <w:szCs w:val="24"/>
        </w:rPr>
        <w:t>The following link provides</w:t>
      </w:r>
      <w:r w:rsidR="00D85F6D" w:rsidRPr="00F07606">
        <w:rPr>
          <w:szCs w:val="24"/>
        </w:rPr>
        <w:t xml:space="preserve"> </w:t>
      </w:r>
      <w:r w:rsidR="00F07606" w:rsidRPr="00F07606">
        <w:rPr>
          <w:szCs w:val="24"/>
        </w:rPr>
        <w:t>support and guides further development to the safe and competent high quality care required by the primary care workforce.</w:t>
      </w:r>
      <w:r w:rsidR="00F07606">
        <w:rPr>
          <w:szCs w:val="24"/>
        </w:rPr>
        <w:t xml:space="preserve"> </w:t>
      </w:r>
      <w:hyperlink r:id="rId14" w:history="1">
        <w:r w:rsidR="00F07606" w:rsidRPr="00C80B71">
          <w:rPr>
            <w:rStyle w:val="Hyperlink"/>
            <w:szCs w:val="24"/>
          </w:rPr>
          <w:t>https://www.rcgp.org.uk/-/media/Files/Policy/A-Z-policy/2015/RCGP-General-Practice-Nurse-competencies-2015.ashx?la=en</w:t>
        </w:r>
      </w:hyperlink>
      <w:r w:rsidR="00F07606">
        <w:rPr>
          <w:szCs w:val="24"/>
        </w:rPr>
        <w:tab/>
      </w:r>
    </w:p>
    <w:p w:rsidR="00FC7B78" w:rsidRPr="001709DB" w:rsidRDefault="00B11DB8" w:rsidP="00FC7B78">
      <w:pPr>
        <w:rPr>
          <w:szCs w:val="24"/>
        </w:rPr>
      </w:pPr>
      <w:r>
        <w:rPr>
          <w:szCs w:val="24"/>
        </w:rPr>
        <w:t>The</w:t>
      </w:r>
      <w:r w:rsidR="00D85F6D">
        <w:rPr>
          <w:szCs w:val="24"/>
        </w:rPr>
        <w:t xml:space="preserve"> need for preceptorship beyond induction has been recognised along wit</w:t>
      </w:r>
      <w:r>
        <w:rPr>
          <w:szCs w:val="24"/>
        </w:rPr>
        <w:t xml:space="preserve">h ongoing clinical supervision. </w:t>
      </w:r>
      <w:hyperlink r:id="rId15" w:history="1">
        <w:r w:rsidRPr="00E1138E">
          <w:rPr>
            <w:rStyle w:val="Hyperlink"/>
            <w:szCs w:val="24"/>
          </w:rPr>
          <w:t xml:space="preserve">The </w:t>
        </w:r>
        <w:r w:rsidR="00D85F6D" w:rsidRPr="00E1138E">
          <w:rPr>
            <w:rStyle w:val="Hyperlink"/>
            <w:szCs w:val="24"/>
          </w:rPr>
          <w:t>GPN Resource Pack</w:t>
        </w:r>
      </w:hyperlink>
      <w:r w:rsidR="00D85F6D">
        <w:rPr>
          <w:szCs w:val="24"/>
        </w:rPr>
        <w:t xml:space="preserve"> is a resource </w:t>
      </w:r>
      <w:r w:rsidR="00D85F6D" w:rsidRPr="00C30588">
        <w:rPr>
          <w:szCs w:val="24"/>
        </w:rPr>
        <w:t>for Primary Care across Cheshire and Merseyside to support the practice of newly registered nurses, nurses returning to practice and registered nurses new to working in GPN roles</w:t>
      </w:r>
      <w:r w:rsidR="00D85F6D">
        <w:rPr>
          <w:szCs w:val="24"/>
        </w:rPr>
        <w:t>.</w:t>
      </w:r>
      <w:r w:rsidR="00FC7B78" w:rsidRPr="00FC7B78">
        <w:rPr>
          <w:szCs w:val="24"/>
        </w:rPr>
        <w:t xml:space="preserve"> </w:t>
      </w:r>
      <w:r w:rsidR="00FC7B78">
        <w:rPr>
          <w:szCs w:val="24"/>
        </w:rPr>
        <w:t xml:space="preserve">The New to Practice Programme facilitated by </w:t>
      </w:r>
      <w:r w:rsidR="00E1138E">
        <w:rPr>
          <w:szCs w:val="24"/>
        </w:rPr>
        <w:t>The Cheshire Training Hub</w:t>
      </w:r>
      <w:r w:rsidR="00FC7B78">
        <w:rPr>
          <w:szCs w:val="24"/>
        </w:rPr>
        <w:t xml:space="preserve"> and LTHs aims to support GPNs further, striving for excellence within the workforce.  Further information </w:t>
      </w:r>
      <w:r w:rsidR="00E1138E">
        <w:rPr>
          <w:szCs w:val="24"/>
        </w:rPr>
        <w:t>is available on the CMTH website.</w:t>
      </w:r>
    </w:p>
    <w:p w:rsidR="001709DB" w:rsidRPr="00B11DB8" w:rsidRDefault="001709DB" w:rsidP="001709DB">
      <w:pPr>
        <w:pStyle w:val="Default"/>
        <w:rPr>
          <w:rFonts w:asciiTheme="minorHAnsi" w:hAnsiTheme="minorHAnsi" w:cstheme="minorBidi"/>
          <w:color w:val="auto"/>
          <w:sz w:val="22"/>
          <w:szCs w:val="22"/>
        </w:rPr>
      </w:pPr>
      <w:r w:rsidRPr="004D6A83">
        <w:rPr>
          <w:rFonts w:asciiTheme="minorHAnsi" w:hAnsiTheme="minorHAnsi" w:cstheme="minorBidi"/>
          <w:color w:val="auto"/>
          <w:sz w:val="22"/>
        </w:rPr>
        <w:t>The NHS Long Term Plan</w:t>
      </w:r>
      <w:r w:rsidR="009D72E4">
        <w:rPr>
          <w:rFonts w:asciiTheme="minorHAnsi" w:hAnsiTheme="minorHAnsi" w:cstheme="minorBidi"/>
          <w:color w:val="auto"/>
          <w:sz w:val="22"/>
        </w:rPr>
        <w:t xml:space="preserve"> (2019)</w:t>
      </w:r>
      <w:r w:rsidRPr="004D6A83">
        <w:rPr>
          <w:rFonts w:asciiTheme="minorHAnsi" w:hAnsiTheme="minorHAnsi" w:cstheme="minorBidi"/>
          <w:color w:val="auto"/>
          <w:sz w:val="22"/>
        </w:rPr>
        <w:t xml:space="preserve"> committed to:</w:t>
      </w:r>
      <w:r w:rsidR="00FC7B78">
        <w:rPr>
          <w:rFonts w:asciiTheme="minorHAnsi" w:hAnsiTheme="minorHAnsi" w:cstheme="minorBidi"/>
          <w:color w:val="auto"/>
          <w:sz w:val="22"/>
        </w:rPr>
        <w:t xml:space="preserve"> </w:t>
      </w:r>
      <w:r w:rsidRPr="00B11DB8">
        <w:rPr>
          <w:rFonts w:asciiTheme="minorHAnsi" w:hAnsiTheme="minorHAnsi" w:cstheme="minorBidi"/>
          <w:color w:val="auto"/>
          <w:sz w:val="22"/>
          <w:szCs w:val="22"/>
        </w:rPr>
        <w:t>Newly qualified doctors and nurses entering general practice be</w:t>
      </w:r>
      <w:r w:rsidR="00B11DB8">
        <w:rPr>
          <w:rFonts w:asciiTheme="minorHAnsi" w:hAnsiTheme="minorHAnsi" w:cstheme="minorBidi"/>
          <w:color w:val="auto"/>
          <w:sz w:val="22"/>
          <w:szCs w:val="22"/>
        </w:rPr>
        <w:t xml:space="preserve">ing offered a two-year fellowship. </w:t>
      </w:r>
      <w:r w:rsidRPr="00B11DB8">
        <w:rPr>
          <w:rFonts w:asciiTheme="minorHAnsi" w:hAnsiTheme="minorHAnsi" w:cstheme="minorBidi"/>
          <w:color w:val="auto"/>
          <w:sz w:val="22"/>
          <w:szCs w:val="22"/>
        </w:rPr>
        <w:t xml:space="preserve">This would offer a secure contract of employment </w:t>
      </w:r>
      <w:r w:rsidR="00B11DB8">
        <w:rPr>
          <w:rFonts w:asciiTheme="minorHAnsi" w:hAnsiTheme="minorHAnsi" w:cstheme="minorBidi"/>
          <w:color w:val="auto"/>
          <w:sz w:val="22"/>
          <w:szCs w:val="22"/>
        </w:rPr>
        <w:t>and</w:t>
      </w:r>
      <w:r w:rsidRPr="00B11DB8">
        <w:rPr>
          <w:rFonts w:asciiTheme="minorHAnsi" w:hAnsiTheme="minorHAnsi" w:cstheme="minorBidi"/>
          <w:color w:val="auto"/>
          <w:sz w:val="22"/>
          <w:szCs w:val="22"/>
        </w:rPr>
        <w:t xml:space="preserve"> portfolio role tailored, where possible, to the aims of the individual and the needs of the local primary care system. This will enable newly qualified nurses to consider primary care </w:t>
      </w:r>
      <w:r w:rsidR="001839F3" w:rsidRPr="00B11DB8">
        <w:rPr>
          <w:rFonts w:asciiTheme="minorHAnsi" w:hAnsiTheme="minorHAnsi" w:cstheme="minorBidi"/>
          <w:color w:val="auto"/>
          <w:sz w:val="22"/>
          <w:szCs w:val="22"/>
        </w:rPr>
        <w:t xml:space="preserve">and </w:t>
      </w:r>
      <w:r w:rsidR="001839F3" w:rsidRPr="00B11DB8">
        <w:rPr>
          <w:sz w:val="22"/>
          <w:szCs w:val="22"/>
        </w:rPr>
        <w:t xml:space="preserve">general practice nursing </w:t>
      </w:r>
      <w:r w:rsidR="001839F3" w:rsidRPr="00B11DB8">
        <w:rPr>
          <w:rFonts w:asciiTheme="minorHAnsi" w:hAnsiTheme="minorHAnsi" w:cstheme="minorBidi"/>
          <w:color w:val="auto"/>
          <w:sz w:val="22"/>
          <w:szCs w:val="22"/>
        </w:rPr>
        <w:t>as a first destination career option</w:t>
      </w:r>
      <w:r w:rsidR="00B11DB8">
        <w:rPr>
          <w:rFonts w:asciiTheme="minorHAnsi" w:hAnsiTheme="minorHAnsi" w:cstheme="minorBidi"/>
          <w:color w:val="auto"/>
          <w:sz w:val="22"/>
          <w:szCs w:val="22"/>
        </w:rPr>
        <w:t>.</w:t>
      </w:r>
    </w:p>
    <w:p w:rsidR="001709DB" w:rsidRPr="00102D8F" w:rsidRDefault="001709DB" w:rsidP="001709DB">
      <w:pPr>
        <w:pStyle w:val="Default"/>
        <w:rPr>
          <w:rFonts w:asciiTheme="minorHAnsi" w:hAnsiTheme="minorHAnsi" w:cstheme="minorBidi"/>
          <w:color w:val="auto"/>
          <w:sz w:val="22"/>
        </w:rPr>
      </w:pPr>
    </w:p>
    <w:p w:rsidR="001709DB" w:rsidRDefault="001709DB" w:rsidP="001709DB">
      <w:pPr>
        <w:pStyle w:val="Default"/>
        <w:rPr>
          <w:rFonts w:asciiTheme="minorHAnsi" w:hAnsiTheme="minorHAnsi" w:cstheme="minorBidi"/>
          <w:color w:val="auto"/>
          <w:sz w:val="22"/>
        </w:rPr>
      </w:pPr>
      <w:r w:rsidRPr="004D6A83">
        <w:rPr>
          <w:rFonts w:asciiTheme="minorHAnsi" w:hAnsiTheme="minorHAnsi" w:cstheme="minorBidi"/>
          <w:color w:val="auto"/>
          <w:sz w:val="22"/>
        </w:rPr>
        <w:t>The New to Practice Programme responds to three key areas of feedback from newly-qualified GPs and GPNs:</w:t>
      </w:r>
    </w:p>
    <w:p w:rsidR="00FC7B78" w:rsidRPr="004D6A83" w:rsidRDefault="00FC7B78" w:rsidP="001709DB">
      <w:pPr>
        <w:pStyle w:val="Default"/>
        <w:rPr>
          <w:rFonts w:asciiTheme="minorHAnsi" w:hAnsiTheme="minorHAnsi" w:cstheme="minorBidi"/>
          <w:color w:val="auto"/>
          <w:sz w:val="22"/>
        </w:rPr>
      </w:pPr>
    </w:p>
    <w:p w:rsidR="001709DB" w:rsidRPr="004D6A83" w:rsidRDefault="001709DB" w:rsidP="001709DB">
      <w:pPr>
        <w:pStyle w:val="Default"/>
        <w:rPr>
          <w:rFonts w:asciiTheme="minorHAnsi" w:hAnsiTheme="minorHAnsi" w:cstheme="minorBidi"/>
          <w:color w:val="auto"/>
          <w:sz w:val="22"/>
        </w:rPr>
      </w:pPr>
      <w:r w:rsidRPr="004D6A83">
        <w:rPr>
          <w:rFonts w:asciiTheme="minorHAnsi" w:hAnsiTheme="minorHAnsi" w:cstheme="minorBidi"/>
          <w:color w:val="auto"/>
          <w:sz w:val="22"/>
        </w:rPr>
        <w:t>•Desires for a supportive transition into General Practice</w:t>
      </w:r>
    </w:p>
    <w:p w:rsidR="001709DB" w:rsidRPr="004D6A83" w:rsidRDefault="001709DB" w:rsidP="001709DB">
      <w:pPr>
        <w:pStyle w:val="Default"/>
        <w:rPr>
          <w:rFonts w:asciiTheme="minorHAnsi" w:hAnsiTheme="minorHAnsi" w:cstheme="minorBidi"/>
          <w:color w:val="auto"/>
          <w:sz w:val="22"/>
        </w:rPr>
      </w:pPr>
      <w:r w:rsidRPr="004D6A83">
        <w:rPr>
          <w:rFonts w:asciiTheme="minorHAnsi" w:hAnsiTheme="minorHAnsi" w:cstheme="minorBidi"/>
          <w:color w:val="auto"/>
          <w:sz w:val="22"/>
        </w:rPr>
        <w:t>•Opportunities to work in a portfolio way</w:t>
      </w:r>
    </w:p>
    <w:p w:rsidR="001709DB" w:rsidRPr="004D6A83" w:rsidRDefault="001709DB" w:rsidP="001709DB">
      <w:pPr>
        <w:pStyle w:val="Default"/>
        <w:rPr>
          <w:rFonts w:asciiTheme="minorHAnsi" w:hAnsiTheme="minorHAnsi" w:cstheme="minorBidi"/>
          <w:color w:val="auto"/>
          <w:sz w:val="22"/>
        </w:rPr>
      </w:pPr>
      <w:r w:rsidRPr="004D6A83">
        <w:rPr>
          <w:rFonts w:asciiTheme="minorHAnsi" w:hAnsiTheme="minorHAnsi" w:cstheme="minorBidi"/>
          <w:color w:val="auto"/>
          <w:sz w:val="22"/>
        </w:rPr>
        <w:t>•Learning wider skills for future ways of working</w:t>
      </w:r>
    </w:p>
    <w:p w:rsidR="001709DB" w:rsidRPr="004D6A83" w:rsidRDefault="001709DB" w:rsidP="001709DB">
      <w:pPr>
        <w:pStyle w:val="Default"/>
        <w:rPr>
          <w:rFonts w:asciiTheme="minorHAnsi" w:hAnsiTheme="minorHAnsi" w:cstheme="minorBidi"/>
          <w:color w:val="auto"/>
          <w:sz w:val="22"/>
        </w:rPr>
      </w:pPr>
    </w:p>
    <w:p w:rsidR="00FC7B78" w:rsidRDefault="00FC7B78" w:rsidP="00D85F6D">
      <w:pPr>
        <w:rPr>
          <w:b/>
          <w:sz w:val="28"/>
          <w:u w:val="single"/>
        </w:rPr>
      </w:pPr>
    </w:p>
    <w:p w:rsidR="00D85F6D" w:rsidRPr="00D85D56" w:rsidRDefault="00D85F6D" w:rsidP="00D85F6D">
      <w:r w:rsidRPr="00A46522">
        <w:rPr>
          <w:b/>
          <w:sz w:val="28"/>
          <w:u w:val="single"/>
        </w:rPr>
        <w:t>Preceptorship</w:t>
      </w:r>
    </w:p>
    <w:p w:rsidR="00D85F6D" w:rsidRDefault="001709DB" w:rsidP="00D85F6D">
      <w:r>
        <w:t xml:space="preserve">Where the practice does not adopt the New to Practice programme, a preceptorship period should still be offered to the GPN.  </w:t>
      </w:r>
      <w:r w:rsidR="00D85F6D" w:rsidRPr="00C30588">
        <w:t>The recommended length of a preceptorship programme is 12 months from the date of joining the practice. The length of preceptorship may be flexible for some in terms of individual needs or practice/employers requirements. It should be a minimum of 6 months for all newly registered nurses, nurses returning to practice and registered nurses new to working in general practice nursing roles; which falls in line with national recommendations of 6-9 months. During the 12-month programme there will be certain expectations of both the preceptor and preceptee in terms of engagement in the relationship and completion of defined competences. These should comply with HEE Standards. Preceptorship should include a minimum supernumerary period of two weeks to cover local practice induction. This should be agreed locally with the practice/employer, preceptor and line manager.</w:t>
      </w:r>
    </w:p>
    <w:p w:rsidR="00D85F6D" w:rsidRPr="00A46522" w:rsidRDefault="00D85F6D" w:rsidP="00D85F6D">
      <w:pPr>
        <w:rPr>
          <w:b/>
          <w:sz w:val="28"/>
          <w:u w:val="single"/>
        </w:rPr>
      </w:pPr>
      <w:r w:rsidRPr="00A46522">
        <w:rPr>
          <w:b/>
          <w:sz w:val="28"/>
          <w:u w:val="single"/>
        </w:rPr>
        <w:t>Supervisors and Assessors</w:t>
      </w:r>
    </w:p>
    <w:p w:rsidR="00D85F6D" w:rsidRDefault="00D85F6D" w:rsidP="00D85F6D">
      <w:r>
        <w:t xml:space="preserve">The NMC replaced mentors with </w:t>
      </w:r>
      <w:hyperlink r:id="rId16" w:history="1">
        <w:r w:rsidRPr="007E1121">
          <w:rPr>
            <w:rStyle w:val="Hyperlink"/>
            <w:color w:val="auto"/>
          </w:rPr>
          <w:t>Supervisors and Assessors for Student Nurses</w:t>
        </w:r>
      </w:hyperlink>
      <w:r>
        <w:t xml:space="preserve"> and </w:t>
      </w:r>
      <w:r w:rsidR="001839F3">
        <w:t xml:space="preserve">there is </w:t>
      </w:r>
      <w:r w:rsidRPr="00E02D69">
        <w:t xml:space="preserve">no longer </w:t>
      </w:r>
      <w:r w:rsidR="001839F3">
        <w:t>the need for</w:t>
      </w:r>
      <w:r w:rsidRPr="00E02D69">
        <w:t xml:space="preserve"> an N</w:t>
      </w:r>
      <w:r w:rsidR="001839F3">
        <w:t>MC-approved training programme. A</w:t>
      </w:r>
      <w:r w:rsidRPr="00E02D69">
        <w:t xml:space="preserve">ppropriate preparation and support </w:t>
      </w:r>
      <w:r w:rsidR="001839F3">
        <w:t xml:space="preserve">is required </w:t>
      </w:r>
      <w:r w:rsidRPr="00E02D69">
        <w:t>to ensure up-to-date knowledge and experience that is relevant to the student/trainee and area of practice they are supervising</w:t>
      </w:r>
      <w:r>
        <w:t>.</w:t>
      </w:r>
    </w:p>
    <w:p w:rsidR="00102D8F" w:rsidRDefault="00FC7B78" w:rsidP="00D85F6D">
      <w:r>
        <w:t>Upon registration, a</w:t>
      </w:r>
      <w:r w:rsidR="00102D8F" w:rsidRPr="00E02D69">
        <w:t xml:space="preserve">ll nurses, midwives and nursing </w:t>
      </w:r>
      <w:r w:rsidR="009D72E4" w:rsidRPr="00E02D69">
        <w:t xml:space="preserve">associates </w:t>
      </w:r>
      <w:r>
        <w:t>are</w:t>
      </w:r>
      <w:r w:rsidR="00102D8F" w:rsidRPr="00E02D69">
        <w:t xml:space="preserve"> practice supervisors</w:t>
      </w:r>
      <w:r w:rsidR="00102D8F">
        <w:t xml:space="preserve"> and should complete a </w:t>
      </w:r>
      <w:r w:rsidR="0053095A">
        <w:t xml:space="preserve">practice supervisor self-declaration form </w:t>
      </w:r>
      <w:r w:rsidR="00102D8F">
        <w:t xml:space="preserve">and return </w:t>
      </w:r>
      <w:r w:rsidR="001839F3">
        <w:t xml:space="preserve">it </w:t>
      </w:r>
      <w:r w:rsidR="00102D8F">
        <w:t xml:space="preserve">to the </w:t>
      </w:r>
      <w:r>
        <w:t>LTH</w:t>
      </w:r>
      <w:r w:rsidR="00102D8F" w:rsidRPr="00E02D69">
        <w:t>. Practice assessors will assess trainees’/students’ overall performance while on placement and work closely with practice supervisors and academic assessors</w:t>
      </w:r>
      <w:r w:rsidR="00102D8F">
        <w:t xml:space="preserve">, </w:t>
      </w:r>
      <w:r w:rsidR="0053095A">
        <w:t xml:space="preserve">a practice assessor </w:t>
      </w:r>
      <w:r w:rsidR="00102D8F">
        <w:t>form needs completion in this instance</w:t>
      </w:r>
      <w:r w:rsidR="00102D8F" w:rsidRPr="00E02D69">
        <w:t>. They may be registered nurses, midwives or nursing associates, but will only assess within their scope of practice. However, registered nurses may also assess trainee nursing associates</w:t>
      </w:r>
      <w:r w:rsidR="00102D8F" w:rsidRPr="002873F4">
        <w:t xml:space="preserve">.  </w:t>
      </w:r>
    </w:p>
    <w:p w:rsidR="00D85F6D" w:rsidRDefault="00D85F6D" w:rsidP="00D85F6D">
      <w:r w:rsidRPr="00E02D69">
        <w:t>A practice supervisor is a registered healthcare professional who supports and supervises students, providing feedback on their progress towards, and achievement of, proficiencies and skills (NMC, 2018). A practice assessor is a NMC registrant who conducts assessments to confirm student achievement of proficiencies and programme outcomes for practice learning (NMC, 2018). Learning on clinical placement is a fundamental part of every student’s formal education. Practice supervisors will be responsible for supporting students on placement.</w:t>
      </w:r>
      <w:r>
        <w:t xml:space="preserve"> Access to relevant resources which can be used to support fulfilling the role of supervisor/ assessor and the educational and training responsibilities associated will be provided </w:t>
      </w:r>
      <w:r w:rsidR="001839F3">
        <w:t>to those</w:t>
      </w:r>
      <w:r>
        <w:t xml:space="preserve"> </w:t>
      </w:r>
      <w:r w:rsidR="001839F3">
        <w:t xml:space="preserve">with </w:t>
      </w:r>
      <w:r>
        <w:t xml:space="preserve">a professional responsibility to support the education of students. </w:t>
      </w:r>
      <w:r w:rsidRPr="00E02D69">
        <w:t xml:space="preserve"> </w:t>
      </w:r>
    </w:p>
    <w:bookmarkStart w:id="1" w:name="_MON_1651664708"/>
    <w:bookmarkEnd w:id="1"/>
    <w:p w:rsidR="0053095A" w:rsidRDefault="0053095A" w:rsidP="00D85F6D">
      <w:r>
        <w:object w:dxaOrig="1508"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6.75pt" o:ole="">
            <v:imagedata r:id="rId17" o:title=""/>
          </v:shape>
          <o:OLEObject Type="Embed" ProgID="Word.Document.12" ShapeID="_x0000_i1025" DrawAspect="Icon" ObjectID="_1674975584" r:id="rId18">
            <o:FieldCodes>\s</o:FieldCodes>
          </o:OLEObject>
        </w:object>
      </w:r>
      <w:bookmarkStart w:id="2" w:name="_MON_1651664749"/>
      <w:bookmarkEnd w:id="2"/>
      <w:r>
        <w:object w:dxaOrig="1508" w:dyaOrig="943">
          <v:shape id="_x0000_i1026" type="#_x0000_t75" style="width:75.15pt;height:46.75pt" o:ole="">
            <v:imagedata r:id="rId19" o:title=""/>
          </v:shape>
          <o:OLEObject Type="Embed" ProgID="Word.Document.12" ShapeID="_x0000_i1026" DrawAspect="Icon" ObjectID="_1674975585" r:id="rId20">
            <o:FieldCodes>\s</o:FieldCodes>
          </o:OLEObject>
        </w:object>
      </w:r>
    </w:p>
    <w:p w:rsidR="00D85F6D" w:rsidRDefault="00D85F6D" w:rsidP="00D85F6D">
      <w:r w:rsidRPr="006834FA">
        <w:rPr>
          <w:b/>
        </w:rPr>
        <w:t>Practice supervisors</w:t>
      </w:r>
      <w:r w:rsidRPr="006834FA">
        <w:t xml:space="preserve">:  In addition to the day-to-day supervision, feedback, and recording progress in the PAD, practice supervisors will need to have sufficient opportunities to engage with practice </w:t>
      </w:r>
      <w:r w:rsidRPr="006834FA">
        <w:lastRenderedPageBreak/>
        <w:t>assessors and academic assessors to share feedback on the s</w:t>
      </w:r>
      <w:r w:rsidR="000E2E21">
        <w:t xml:space="preserve">tudent they are supervising. </w:t>
      </w:r>
      <w:r w:rsidR="001839F3">
        <w:t>Practice supervisors must</w:t>
      </w:r>
      <w:r w:rsidRPr="006834FA">
        <w:t xml:space="preserve"> receive ongoing support to prepare, reflect and develop in their role.  </w:t>
      </w:r>
    </w:p>
    <w:p w:rsidR="00D85F6D" w:rsidRPr="006834FA" w:rsidRDefault="00D85F6D" w:rsidP="00D85F6D">
      <w:r w:rsidRPr="006834FA">
        <w:rPr>
          <w:b/>
        </w:rPr>
        <w:t xml:space="preserve">Practice assessors: </w:t>
      </w:r>
      <w:r w:rsidRPr="006834FA">
        <w:t xml:space="preserve">It </w:t>
      </w:r>
      <w:r w:rsidR="004D6A83">
        <w:t>is suggested</w:t>
      </w:r>
      <w:r w:rsidRPr="006834FA">
        <w:t xml:space="preserve"> that practice assessors receive protected time for the role.  In addition to the time required to observe students, make and record assessments, practice assessors will need to have sufficient opportunities to gather and coordinate feedback from practice supervisors, other practice assessors and relevant people.  Practice assessors must receive ongoing support and training to reflect and develop in their role.  </w:t>
      </w:r>
    </w:p>
    <w:p w:rsidR="00D85F6D" w:rsidRDefault="00D85F6D" w:rsidP="00D85F6D">
      <w:r>
        <w:t xml:space="preserve">The NMC state in their </w:t>
      </w:r>
      <w:r w:rsidRPr="00BB3C29">
        <w:rPr>
          <w:i/>
        </w:rPr>
        <w:t>Realising professionalism:</w:t>
      </w:r>
      <w:r>
        <w:rPr>
          <w:i/>
        </w:rPr>
        <w:t xml:space="preserve"> </w:t>
      </w:r>
      <w:r w:rsidRPr="00BB3C29">
        <w:rPr>
          <w:i/>
        </w:rPr>
        <w:t>Standards for education and training</w:t>
      </w:r>
      <w:r>
        <w:t>, that approved education institutions, together with practice learning partners, must ensure that practice supervisors:</w:t>
      </w:r>
    </w:p>
    <w:p w:rsidR="00D85F6D" w:rsidRDefault="00D85F6D" w:rsidP="00D85F6D">
      <w:pPr>
        <w:pStyle w:val="ListParagraph"/>
        <w:numPr>
          <w:ilvl w:val="0"/>
          <w:numId w:val="1"/>
        </w:numPr>
      </w:pPr>
      <w:r>
        <w:t>serve as role models for safe and effective practice in line with their code of conduct</w:t>
      </w:r>
    </w:p>
    <w:p w:rsidR="00D85F6D" w:rsidRDefault="00D85F6D" w:rsidP="00D85F6D">
      <w:pPr>
        <w:pStyle w:val="ListParagraph"/>
        <w:numPr>
          <w:ilvl w:val="0"/>
          <w:numId w:val="1"/>
        </w:numPr>
      </w:pPr>
      <w:r>
        <w:t xml:space="preserve">support learning in line with their scope of practice to enable the student to meet their proficiencies and programme outcomes </w:t>
      </w:r>
    </w:p>
    <w:p w:rsidR="00D85F6D" w:rsidRDefault="00D85F6D" w:rsidP="00D85F6D">
      <w:pPr>
        <w:pStyle w:val="ListParagraph"/>
        <w:numPr>
          <w:ilvl w:val="0"/>
          <w:numId w:val="1"/>
        </w:numPr>
      </w:pPr>
      <w:r>
        <w:t>support and supervise students, providing feedback on their progress towards, and achievement of, proficiencies and skills</w:t>
      </w:r>
    </w:p>
    <w:p w:rsidR="00D85F6D" w:rsidRDefault="00D85F6D" w:rsidP="00D85F6D">
      <w:pPr>
        <w:pStyle w:val="ListParagraph"/>
        <w:numPr>
          <w:ilvl w:val="0"/>
          <w:numId w:val="1"/>
        </w:numPr>
      </w:pPr>
      <w:r>
        <w:t>have current knowledge and experience of the area in which they are providing support, supervision and feedback, and</w:t>
      </w:r>
    </w:p>
    <w:p w:rsidR="00D85F6D" w:rsidRPr="00E07BC1" w:rsidRDefault="00D85F6D" w:rsidP="00D85F6D">
      <w:pPr>
        <w:pStyle w:val="ListParagraph"/>
        <w:numPr>
          <w:ilvl w:val="0"/>
          <w:numId w:val="1"/>
        </w:numPr>
      </w:pPr>
      <w:r>
        <w:t>receive ongoing support to participate in the practice learning of students</w:t>
      </w:r>
    </w:p>
    <w:p w:rsidR="00D85F6D" w:rsidRDefault="00D85F6D" w:rsidP="00D85F6D">
      <w:r>
        <w:t xml:space="preserve">This expectation and dedication required by GPNs needs support and investment in both protected time and resources in order to deliver the above. Cheshire and Merseyside have collaborated to </w:t>
      </w:r>
      <w:r w:rsidRPr="00DF61DD">
        <w:t xml:space="preserve">develop a </w:t>
      </w:r>
      <w:r w:rsidR="00131598">
        <w:t xml:space="preserve">new practice data capture form </w:t>
      </w:r>
      <w:r w:rsidRPr="00DF61DD">
        <w:t xml:space="preserve">which </w:t>
      </w:r>
      <w:r>
        <w:t>also offers a simple illustration to new PCNs or GP surgeries with an interest in becoming a training practice. Offering students a placement as a hub or a spoke enables greater capacity and opportunity for learning in primary care, as the student does not need to spend their entire placement with their supervisor.</w:t>
      </w:r>
      <w:r w:rsidR="00131598" w:rsidRPr="00131598">
        <w:t xml:space="preserve"> </w:t>
      </w:r>
    </w:p>
    <w:bookmarkStart w:id="3" w:name="_MON_1651664824"/>
    <w:bookmarkEnd w:id="3"/>
    <w:p w:rsidR="00131598" w:rsidRDefault="00131598" w:rsidP="00D85F6D">
      <w:r>
        <w:object w:dxaOrig="1508" w:dyaOrig="943">
          <v:shape id="_x0000_i1027" type="#_x0000_t75" style="width:75.15pt;height:46.75pt" o:ole="">
            <v:imagedata r:id="rId21" o:title=""/>
          </v:shape>
          <o:OLEObject Type="Embed" ProgID="Word.Document.12" ShapeID="_x0000_i1027" DrawAspect="Icon" ObjectID="_1674975586" r:id="rId22">
            <o:FieldCodes>\s</o:FieldCodes>
          </o:OLEObject>
        </w:object>
      </w:r>
    </w:p>
    <w:p w:rsidR="00D85F6D" w:rsidRDefault="00D85F6D" w:rsidP="00D85F6D">
      <w:pPr>
        <w:rPr>
          <w:rFonts w:eastAsiaTheme="minorEastAsia" w:hAnsi="Calibri"/>
          <w:color w:val="000000" w:themeColor="text1"/>
          <w:kern w:val="24"/>
          <w:lang w:eastAsia="en-GB"/>
        </w:rPr>
      </w:pPr>
      <w:r w:rsidRPr="001943F6">
        <w:rPr>
          <w:rFonts w:eastAsiaTheme="minorEastAsia" w:hAnsi="Calibri"/>
          <w:color w:val="000000" w:themeColor="text1"/>
          <w:kern w:val="24"/>
          <w:lang w:eastAsia="en-GB"/>
        </w:rPr>
        <w:t xml:space="preserve">The aim of hub and </w:t>
      </w:r>
      <w:r>
        <w:rPr>
          <w:rFonts w:eastAsiaTheme="minorEastAsia" w:hAnsi="Calibri"/>
          <w:color w:val="000000" w:themeColor="text1"/>
          <w:kern w:val="24"/>
          <w:lang w:eastAsia="en-GB"/>
        </w:rPr>
        <w:t xml:space="preserve">spoke placements is to provide </w:t>
      </w:r>
      <w:r w:rsidRPr="001943F6">
        <w:rPr>
          <w:rFonts w:eastAsiaTheme="minorEastAsia" w:hAnsi="Calibri"/>
          <w:color w:val="000000" w:themeColor="text1"/>
          <w:kern w:val="24"/>
          <w:lang w:eastAsia="en-GB"/>
        </w:rPr>
        <w:t>students with a broad experience</w:t>
      </w:r>
      <w:r>
        <w:rPr>
          <w:rFonts w:eastAsiaTheme="minorEastAsia" w:hAnsi="Calibri"/>
          <w:color w:val="000000" w:themeColor="text1"/>
          <w:kern w:val="24"/>
          <w:lang w:eastAsia="en-GB"/>
        </w:rPr>
        <w:t xml:space="preserve"> of learning, by</w:t>
      </w:r>
      <w:r w:rsidRPr="001943F6">
        <w:rPr>
          <w:rFonts w:eastAsiaTheme="minorEastAsia" w:hAnsi="Calibri"/>
          <w:color w:val="000000" w:themeColor="text1"/>
          <w:kern w:val="24"/>
          <w:lang w:eastAsia="en-GB"/>
        </w:rPr>
        <w:t xml:space="preserve"> maximising exposure to the multidisciplinary team and interagency working</w:t>
      </w:r>
      <w:r>
        <w:rPr>
          <w:rFonts w:eastAsiaTheme="minorEastAsia" w:hAnsi="Calibri"/>
          <w:color w:val="000000" w:themeColor="text1"/>
          <w:kern w:val="24"/>
          <w:lang w:eastAsia="en-GB"/>
        </w:rPr>
        <w:t xml:space="preserve"> within primary care</w:t>
      </w:r>
      <w:r w:rsidRPr="001943F6">
        <w:rPr>
          <w:rFonts w:eastAsiaTheme="minorEastAsia" w:hAnsi="Calibri"/>
          <w:color w:val="000000" w:themeColor="text1"/>
          <w:kern w:val="24"/>
          <w:lang w:eastAsia="en-GB"/>
        </w:rPr>
        <w:t>.</w:t>
      </w:r>
      <w:r w:rsidRPr="00534ABA">
        <w:rPr>
          <w:rFonts w:eastAsiaTheme="minorEastAsia" w:hAnsi="Calibri"/>
          <w:color w:val="000000" w:themeColor="text1"/>
          <w:kern w:val="24"/>
          <w:lang w:eastAsia="en-GB"/>
        </w:rPr>
        <w:t xml:space="preserve"> </w:t>
      </w:r>
      <w:r w:rsidRPr="001943F6">
        <w:rPr>
          <w:rFonts w:eastAsiaTheme="minorEastAsia" w:hAnsi="Calibri"/>
          <w:color w:val="000000" w:themeColor="text1"/>
          <w:kern w:val="24"/>
          <w:lang w:eastAsia="en-GB"/>
        </w:rPr>
        <w:t xml:space="preserve">The hub is the main placement </w:t>
      </w:r>
      <w:r w:rsidRPr="00534ABA">
        <w:rPr>
          <w:rFonts w:eastAsiaTheme="minorEastAsia" w:hAnsi="Calibri"/>
          <w:color w:val="000000" w:themeColor="text1"/>
          <w:kern w:val="24"/>
          <w:lang w:eastAsia="en-GB"/>
        </w:rPr>
        <w:t>area;</w:t>
      </w:r>
      <w:r w:rsidRPr="001943F6">
        <w:rPr>
          <w:rFonts w:eastAsiaTheme="minorEastAsia" w:hAnsi="Calibri"/>
          <w:color w:val="000000" w:themeColor="text1"/>
          <w:kern w:val="24"/>
          <w:lang w:eastAsia="en-GB"/>
        </w:rPr>
        <w:t xml:space="preserve"> the spokes are other colleagues, departments, organisations and agencies </w:t>
      </w:r>
      <w:r>
        <w:rPr>
          <w:rFonts w:eastAsiaTheme="minorEastAsia" w:hAnsi="Calibri"/>
          <w:color w:val="000000" w:themeColor="text1"/>
          <w:kern w:val="24"/>
          <w:lang w:eastAsia="en-GB"/>
        </w:rPr>
        <w:t>linked with the PCN</w:t>
      </w:r>
      <w:r w:rsidRPr="001943F6">
        <w:rPr>
          <w:rFonts w:eastAsiaTheme="minorEastAsia" w:hAnsi="Calibri"/>
          <w:color w:val="000000" w:themeColor="text1"/>
          <w:kern w:val="24"/>
          <w:lang w:eastAsia="en-GB"/>
        </w:rPr>
        <w:t>. It is not always necessary or possible for the student to</w:t>
      </w:r>
      <w:r w:rsidRPr="00534ABA">
        <w:rPr>
          <w:rFonts w:eastAsiaTheme="minorEastAsia" w:hAnsi="Calibri"/>
          <w:color w:val="000000" w:themeColor="text1"/>
          <w:kern w:val="24"/>
          <w:lang w:eastAsia="en-GB"/>
        </w:rPr>
        <w:t xml:space="preserve"> visit all the relevant spokes;</w:t>
      </w:r>
      <w:r>
        <w:rPr>
          <w:rFonts w:eastAsiaTheme="minorEastAsia" w:hAnsi="Calibri"/>
          <w:color w:val="000000" w:themeColor="text1"/>
          <w:kern w:val="24"/>
          <w:lang w:eastAsia="en-GB"/>
        </w:rPr>
        <w:t xml:space="preserve"> however</w:t>
      </w:r>
      <w:r w:rsidRPr="00534ABA">
        <w:rPr>
          <w:rFonts w:eastAsiaTheme="minorEastAsia" w:hAnsi="Calibri"/>
          <w:color w:val="000000" w:themeColor="text1"/>
          <w:kern w:val="24"/>
          <w:lang w:eastAsia="en-GB"/>
        </w:rPr>
        <w:t xml:space="preserve"> s</w:t>
      </w:r>
      <w:r w:rsidRPr="001943F6">
        <w:rPr>
          <w:rFonts w:eastAsiaTheme="minorEastAsia" w:hAnsi="Calibri"/>
          <w:color w:val="000000" w:themeColor="text1"/>
          <w:kern w:val="24"/>
          <w:lang w:eastAsia="en-GB"/>
        </w:rPr>
        <w:t xml:space="preserve">tudents should negotiate with their </w:t>
      </w:r>
      <w:r w:rsidRPr="00534ABA">
        <w:rPr>
          <w:rFonts w:eastAsiaTheme="minorEastAsia" w:hAnsi="Calibri"/>
          <w:color w:val="000000" w:themeColor="text1"/>
          <w:kern w:val="24"/>
          <w:lang w:eastAsia="en-GB"/>
        </w:rPr>
        <w:t>supervisor</w:t>
      </w:r>
      <w:r w:rsidRPr="001943F6">
        <w:rPr>
          <w:rFonts w:eastAsiaTheme="minorEastAsia" w:hAnsi="Calibri"/>
          <w:color w:val="000000" w:themeColor="text1"/>
          <w:kern w:val="24"/>
          <w:lang w:eastAsia="en-GB"/>
        </w:rPr>
        <w:t xml:space="preserve"> to ensure </w:t>
      </w:r>
      <w:r>
        <w:rPr>
          <w:rFonts w:eastAsiaTheme="minorEastAsia" w:hAnsi="Calibri"/>
          <w:color w:val="000000" w:themeColor="text1"/>
          <w:kern w:val="24"/>
          <w:lang w:eastAsia="en-GB"/>
        </w:rPr>
        <w:t>which</w:t>
      </w:r>
      <w:r w:rsidRPr="001943F6">
        <w:rPr>
          <w:rFonts w:eastAsiaTheme="minorEastAsia" w:hAnsi="Calibri"/>
          <w:color w:val="000000" w:themeColor="text1"/>
          <w:kern w:val="24"/>
          <w:lang w:eastAsia="en-GB"/>
        </w:rPr>
        <w:t xml:space="preserve"> are</w:t>
      </w:r>
      <w:r>
        <w:rPr>
          <w:rFonts w:eastAsiaTheme="minorEastAsia" w:hAnsi="Calibri"/>
          <w:color w:val="000000" w:themeColor="text1"/>
          <w:kern w:val="24"/>
          <w:lang w:eastAsia="en-GB"/>
        </w:rPr>
        <w:t xml:space="preserve"> most</w:t>
      </w:r>
      <w:r w:rsidRPr="001943F6">
        <w:rPr>
          <w:rFonts w:eastAsiaTheme="minorEastAsia" w:hAnsi="Calibri"/>
          <w:color w:val="000000" w:themeColor="text1"/>
          <w:kern w:val="24"/>
          <w:lang w:eastAsia="en-GB"/>
        </w:rPr>
        <w:t xml:space="preserve"> relevant and realistic to the stage of their training.</w:t>
      </w:r>
    </w:p>
    <w:p w:rsidR="00D85F6D" w:rsidRPr="006834FA" w:rsidRDefault="00D85F6D" w:rsidP="00D85F6D">
      <w:pPr>
        <w:rPr>
          <w:rFonts w:eastAsiaTheme="minorEastAsia" w:hAnsi="Calibri"/>
          <w:color w:val="000000" w:themeColor="text1"/>
          <w:kern w:val="24"/>
          <w:lang w:eastAsia="en-GB"/>
        </w:rPr>
      </w:pPr>
      <w:r w:rsidRPr="006834FA">
        <w:rPr>
          <w:rFonts w:eastAsiaTheme="minorEastAsia" w:hAnsi="Calibri"/>
          <w:color w:val="000000" w:themeColor="text1"/>
          <w:kern w:val="24"/>
          <w:lang w:eastAsia="en-GB"/>
        </w:rPr>
        <w:t>The NMC has updated the</w:t>
      </w:r>
      <w:r>
        <w:rPr>
          <w:rFonts w:eastAsiaTheme="minorEastAsia" w:hAnsi="Calibri"/>
          <w:color w:val="000000" w:themeColor="text1"/>
          <w:kern w:val="24"/>
          <w:lang w:eastAsia="en-GB"/>
        </w:rPr>
        <w:t>ir</w:t>
      </w:r>
      <w:r w:rsidRPr="006834FA">
        <w:rPr>
          <w:rFonts w:eastAsiaTheme="minorEastAsia" w:hAnsi="Calibri"/>
          <w:color w:val="000000" w:themeColor="text1"/>
          <w:kern w:val="24"/>
          <w:lang w:eastAsia="en-GB"/>
        </w:rPr>
        <w:t xml:space="preserve"> requirements</w:t>
      </w:r>
      <w:r>
        <w:rPr>
          <w:rFonts w:eastAsiaTheme="minorEastAsia" w:hAnsi="Calibri"/>
          <w:color w:val="000000" w:themeColor="text1"/>
          <w:kern w:val="24"/>
          <w:lang w:eastAsia="en-GB"/>
        </w:rPr>
        <w:t xml:space="preserve"> for the amount of supervision provided to students</w:t>
      </w:r>
      <w:r w:rsidRPr="006834FA">
        <w:rPr>
          <w:rFonts w:eastAsiaTheme="minorEastAsia" w:hAnsi="Calibri"/>
          <w:color w:val="000000" w:themeColor="text1"/>
          <w:kern w:val="24"/>
          <w:lang w:eastAsia="en-GB"/>
        </w:rPr>
        <w:t>.  The NMC (2018) standards for pre-registration nursing programme</w:t>
      </w:r>
      <w:r w:rsidRPr="006834FA">
        <w:rPr>
          <w:rFonts w:eastAsiaTheme="minorEastAsia" w:hAnsi="Calibri"/>
          <w:b/>
          <w:color w:val="000000" w:themeColor="text1"/>
          <w:kern w:val="24"/>
          <w:lang w:eastAsia="en-GB"/>
        </w:rPr>
        <w:t>s</w:t>
      </w:r>
      <w:r w:rsidRPr="006834FA">
        <w:rPr>
          <w:rFonts w:eastAsiaTheme="minorEastAsia" w:hAnsi="Calibri"/>
          <w:color w:val="000000" w:themeColor="text1"/>
          <w:kern w:val="24"/>
          <w:lang w:eastAsia="en-GB"/>
        </w:rPr>
        <w:t xml:space="preserve"> state that:  “students in practice or work placed learning must be supported to learn without being counted as part of the staffing required for safe and effective care in that setting. Placements should enable students to learn to provide safe and effective care, not merely to observe; students can and should add real value to care. The contribution students make will increase over time as they gain proficiency and they will continue to benefit from ongoing guidance and feedback. Once a student has demonstrated that </w:t>
      </w:r>
      <w:r w:rsidRPr="006834FA">
        <w:rPr>
          <w:rFonts w:eastAsiaTheme="minorEastAsia" w:hAnsi="Calibri"/>
          <w:color w:val="000000" w:themeColor="text1"/>
          <w:kern w:val="24"/>
          <w:lang w:eastAsia="en-GB"/>
        </w:rPr>
        <w:lastRenderedPageBreak/>
        <w:t xml:space="preserve">they are proficient, they should be able to fulfil tasks without direct oversight. The level of supervision a student needs is based on the professional judgement of their supervisors, taking into account any associated risks and the students’ knowledge, proficiency and confidence”. </w:t>
      </w:r>
    </w:p>
    <w:p w:rsidR="00D85F6D" w:rsidRDefault="001839F3" w:rsidP="008A7657">
      <w:r>
        <w:rPr>
          <w:noProof/>
          <w:lang w:eastAsia="en-GB"/>
        </w:rPr>
        <w:drawing>
          <wp:anchor distT="0" distB="0" distL="114300" distR="114300" simplePos="0" relativeHeight="251659264" behindDoc="1" locked="0" layoutInCell="1" allowOverlap="1" wp14:anchorId="565E08CE" wp14:editId="7084A65E">
            <wp:simplePos x="0" y="0"/>
            <wp:positionH relativeFrom="column">
              <wp:posOffset>4434840</wp:posOffset>
            </wp:positionH>
            <wp:positionV relativeFrom="paragraph">
              <wp:posOffset>6640195</wp:posOffset>
            </wp:positionV>
            <wp:extent cx="842010" cy="697865"/>
            <wp:effectExtent l="0" t="0" r="0" b="6985"/>
            <wp:wrapTight wrapText="bothSides">
              <wp:wrapPolygon edited="0">
                <wp:start x="489" y="0"/>
                <wp:lineTo x="0" y="1769"/>
                <wp:lineTo x="0" y="20047"/>
                <wp:lineTo x="489" y="21227"/>
                <wp:lineTo x="20525" y="21227"/>
                <wp:lineTo x="21014" y="20047"/>
                <wp:lineTo x="21014" y="590"/>
                <wp:lineTo x="20525" y="0"/>
                <wp:lineTo x="4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2010" cy="697865"/>
                    </a:xfrm>
                    <a:prstGeom prst="rect">
                      <a:avLst/>
                    </a:prstGeom>
                    <a:noFill/>
                  </pic:spPr>
                </pic:pic>
              </a:graphicData>
            </a:graphic>
            <wp14:sizeRelH relativeFrom="page">
              <wp14:pctWidth>0</wp14:pctWidth>
            </wp14:sizeRelH>
            <wp14:sizeRelV relativeFrom="page">
              <wp14:pctHeight>0</wp14:pctHeight>
            </wp14:sizeRelV>
          </wp:anchor>
        </w:drawing>
      </w:r>
      <w:r w:rsidR="00D85F6D">
        <w:t xml:space="preserve">Illustration of a placement with a GPN </w:t>
      </w:r>
      <w:r w:rsidR="008A7657">
        <w:rPr>
          <w:noProof/>
          <w:lang w:eastAsia="en-GB"/>
        </w:rPr>
        <w:drawing>
          <wp:inline distT="0" distB="0" distL="0" distR="0" wp14:anchorId="193BA12F" wp14:editId="1FA34A17">
            <wp:extent cx="5398169" cy="6328610"/>
            <wp:effectExtent l="0" t="0" r="120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A7657" w:rsidRDefault="001839F3" w:rsidP="00D85F6D">
      <w:pPr>
        <w:jc w:val="center"/>
      </w:pPr>
      <w:r>
        <w:rPr>
          <w:noProof/>
          <w:lang w:eastAsia="en-GB"/>
        </w:rPr>
        <w:drawing>
          <wp:anchor distT="0" distB="0" distL="114300" distR="114300" simplePos="0" relativeHeight="251661312" behindDoc="1" locked="0" layoutInCell="1" allowOverlap="1" wp14:anchorId="5050D06B" wp14:editId="47587110">
            <wp:simplePos x="0" y="0"/>
            <wp:positionH relativeFrom="column">
              <wp:posOffset>4764405</wp:posOffset>
            </wp:positionH>
            <wp:positionV relativeFrom="paragraph">
              <wp:posOffset>300355</wp:posOffset>
            </wp:positionV>
            <wp:extent cx="208280" cy="208280"/>
            <wp:effectExtent l="0" t="0" r="1270" b="1270"/>
            <wp:wrapTight wrapText="bothSides">
              <wp:wrapPolygon edited="0">
                <wp:start x="0" y="0"/>
                <wp:lineTo x="0" y="19756"/>
                <wp:lineTo x="19756" y="19756"/>
                <wp:lineTo x="197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pic:spPr>
                </pic:pic>
              </a:graphicData>
            </a:graphic>
            <wp14:sizeRelH relativeFrom="page">
              <wp14:pctWidth>0</wp14:pctWidth>
            </wp14:sizeRelH>
            <wp14:sizeRelV relativeFrom="page">
              <wp14:pctHeight>0</wp14:pctHeight>
            </wp14:sizeRelV>
          </wp:anchor>
        </w:drawing>
      </w:r>
    </w:p>
    <w:p w:rsidR="00D85F6D" w:rsidRDefault="00D85F6D" w:rsidP="00D85F6D">
      <w:pPr>
        <w:jc w:val="center"/>
      </w:pPr>
      <w:r>
        <w:br w:type="page"/>
      </w:r>
    </w:p>
    <w:p w:rsidR="00D85F6D" w:rsidRDefault="004D6A83" w:rsidP="00D85F6D">
      <w:pPr>
        <w:rPr>
          <w:b/>
          <w:sz w:val="28"/>
          <w:u w:val="single"/>
        </w:rPr>
      </w:pPr>
      <w:r>
        <w:rPr>
          <w:b/>
          <w:sz w:val="28"/>
          <w:u w:val="single"/>
        </w:rPr>
        <w:lastRenderedPageBreak/>
        <w:t>Continued Professional Development</w:t>
      </w:r>
    </w:p>
    <w:p w:rsidR="00D85F6D" w:rsidRDefault="00D85F6D" w:rsidP="00D85F6D">
      <w:r>
        <w:t>Continued professional development h</w:t>
      </w:r>
      <w:r w:rsidR="001839F3">
        <w:t>as multiple determining factors;</w:t>
      </w:r>
      <w:r>
        <w:t xml:space="preserve"> Statutory and Mandatory regulations, </w:t>
      </w:r>
      <w:r w:rsidR="001839F3">
        <w:t>role specific</w:t>
      </w:r>
      <w:r>
        <w:t>, CQC requirements</w:t>
      </w:r>
      <w:r w:rsidR="001839F3">
        <w:t>,</w:t>
      </w:r>
      <w:r>
        <w:t xml:space="preserve"> business need and best practice. More recently, the ways in which we work and learn has been heavily influenced by Covid-19 with much emphasis being placed on the virtual working / learning environment.</w:t>
      </w:r>
    </w:p>
    <w:p w:rsidR="00F07606" w:rsidRPr="00F07606" w:rsidRDefault="00D85F6D" w:rsidP="00D85F6D">
      <w:r>
        <w:t>Areas of learning identified by GPNs; appraisal process, personal development plans, local and national legislative recommendations, individual practice requirements, can be accessed via a variety of providers and modalities.</w:t>
      </w:r>
      <w:r w:rsidR="00057684">
        <w:t xml:space="preserve"> Professional development should benefit the individual practitioner</w:t>
      </w:r>
      <w:r>
        <w:t xml:space="preserve"> as well as support </w:t>
      </w:r>
      <w:r w:rsidR="00057684">
        <w:t>the surgery or PCN.</w:t>
      </w:r>
      <w:r w:rsidR="00332159">
        <w:t xml:space="preserve"> </w:t>
      </w:r>
      <w:r w:rsidR="00F10BBF" w:rsidRPr="00F10BBF">
        <w:rPr>
          <w:rFonts w:ascii="Calibri" w:hAnsi="Calibri" w:cs="Calibri"/>
          <w:shd w:val="clear" w:color="auto" w:fill="FFFFFF"/>
        </w:rPr>
        <w:t xml:space="preserve">Development opportunities should be discussed with your line manager and </w:t>
      </w:r>
      <w:r w:rsidR="00F10BBF">
        <w:rPr>
          <w:rFonts w:ascii="Calibri" w:hAnsi="Calibri" w:cs="Calibri"/>
          <w:shd w:val="clear" w:color="auto" w:fill="FFFFFF"/>
        </w:rPr>
        <w:t xml:space="preserve">funding, </w:t>
      </w:r>
      <w:r w:rsidR="00F10BBF" w:rsidRPr="00F10BBF">
        <w:rPr>
          <w:rFonts w:ascii="Calibri" w:hAnsi="Calibri" w:cs="Calibri"/>
          <w:shd w:val="clear" w:color="auto" w:fill="FFFFFF"/>
        </w:rPr>
        <w:t>accessed through the PCN CPD return</w:t>
      </w:r>
      <w:r w:rsidR="00F10BBF" w:rsidRPr="00F07606">
        <w:rPr>
          <w:rFonts w:ascii="Calibri" w:hAnsi="Calibri" w:cs="Calibri"/>
          <w:shd w:val="clear" w:color="auto" w:fill="FFFFFF"/>
        </w:rPr>
        <w:t xml:space="preserve">. </w:t>
      </w:r>
      <w:r w:rsidR="00F07606" w:rsidRPr="00F07606">
        <w:t xml:space="preserve">Explore the courses and providers in the </w:t>
      </w:r>
      <w:hyperlink r:id="rId30" w:tooltip="http://www.cheshireandmerseysideprimarycareacademy.co.uk/index.php/education-training/learning-repository&#10;Ctrl+Click or tap to follow the link" w:history="1">
        <w:r w:rsidR="00F07606" w:rsidRPr="00F07606">
          <w:rPr>
            <w:rFonts w:ascii="Calibri" w:hAnsi="Calibri" w:cs="Calibri"/>
            <w:u w:val="single"/>
          </w:rPr>
          <w:t>Professional Development Directory</w:t>
        </w:r>
      </w:hyperlink>
      <w:r w:rsidR="00F07606" w:rsidRPr="00F07606">
        <w:t xml:space="preserve"> (examples in table 1), or c</w:t>
      </w:r>
      <w:r w:rsidR="00F10BBF" w:rsidRPr="00F07606">
        <w:t>ontact your</w:t>
      </w:r>
      <w:r w:rsidR="00057684" w:rsidRPr="00F07606">
        <w:t xml:space="preserve"> </w:t>
      </w:r>
      <w:r w:rsidR="00332159" w:rsidRPr="00F07606">
        <w:t xml:space="preserve">locality </w:t>
      </w:r>
      <w:hyperlink r:id="rId31" w:history="1">
        <w:r w:rsidR="00E1138E" w:rsidRPr="00F07606">
          <w:rPr>
            <w:rStyle w:val="Hyperlink"/>
            <w:rFonts w:ascii="Calibri" w:hAnsi="Calibri" w:cs="Calibri"/>
            <w:color w:val="auto"/>
            <w:shd w:val="clear" w:color="auto" w:fill="FFFFFF"/>
          </w:rPr>
          <w:t>Training Hub</w:t>
        </w:r>
        <w:r w:rsidR="00332159" w:rsidRPr="00F07606">
          <w:rPr>
            <w:rStyle w:val="Hyperlink"/>
            <w:rFonts w:ascii="Calibri" w:hAnsi="Calibri" w:cs="Calibri"/>
            <w:color w:val="auto"/>
            <w:shd w:val="clear" w:color="auto" w:fill="FFFFFF"/>
          </w:rPr>
          <w:t xml:space="preserve"> </w:t>
        </w:r>
      </w:hyperlink>
      <w:r w:rsidR="00057684" w:rsidRPr="00F07606">
        <w:t xml:space="preserve"> </w:t>
      </w:r>
      <w:r w:rsidR="00F07606">
        <w:t>with</w:t>
      </w:r>
      <w:r w:rsidR="00057684" w:rsidRPr="00F07606">
        <w:t xml:space="preserve"> </w:t>
      </w:r>
      <w:r w:rsidR="00F10BBF" w:rsidRPr="00F07606">
        <w:t>further</w:t>
      </w:r>
      <w:r w:rsidR="00057684" w:rsidRPr="00F07606">
        <w:t xml:space="preserve"> enquiries</w:t>
      </w:r>
      <w:r w:rsidR="00F07606">
        <w:t>.</w:t>
      </w:r>
    </w:p>
    <w:p w:rsidR="00D85F6D" w:rsidRDefault="00D85F6D" w:rsidP="00D85F6D">
      <w:pPr>
        <w:rPr>
          <w:b/>
          <w:sz w:val="28"/>
          <w:u w:val="single"/>
        </w:rPr>
      </w:pPr>
      <w:r>
        <w:rPr>
          <w:b/>
          <w:sz w:val="28"/>
          <w:u w:val="single"/>
        </w:rPr>
        <w:t>Career Progression</w:t>
      </w:r>
    </w:p>
    <w:p w:rsidR="0013653B" w:rsidRDefault="00D85F6D" w:rsidP="00D85F6D">
      <w:r w:rsidRPr="00D85F6D">
        <w:t xml:space="preserve">Advanced clinical practitioners come from a range of professional backgrounds such as nursing, pharmacy, paramedics and occupational therapy. They are healthcare professionals educated to Master’s level and have developed the skills and knowledge to allow them to take on expanded roles and scope of practice caring for patients. This will </w:t>
      </w:r>
      <w:r w:rsidR="0013653B">
        <w:t>help to transform</w:t>
      </w:r>
      <w:r w:rsidRPr="00D85F6D">
        <w:t xml:space="preserve"> the workforce by promo</w:t>
      </w:r>
      <w:r w:rsidR="0013653B">
        <w:t>ting inter-professional working</w:t>
      </w:r>
      <w:r w:rsidRPr="00D85F6D">
        <w:t xml:space="preserve"> across traditional professional boundaries.  It will support the delivery of excellent healthcare for local people by ensuring that the workforce of today and tomorrow has the right numbers, skills, values and behaviours, at the right time and in the right place. </w:t>
      </w:r>
    </w:p>
    <w:p w:rsidR="0013653B" w:rsidRDefault="00D85F6D" w:rsidP="00D85F6D">
      <w:r w:rsidRPr="00D85F6D">
        <w:t>Health Education England, in partnership with NHS Improvement and NHS England, has developed a multi-professional framework for advanced clinical practice in England, which includes a national definition and standards to underpin the multi-professional advanced level of practice</w:t>
      </w:r>
      <w:r w:rsidR="0013653B">
        <w:t>.</w:t>
      </w:r>
      <w:r w:rsidR="0013653B" w:rsidRPr="0013653B">
        <w:t xml:space="preserve"> </w:t>
      </w:r>
      <w:r w:rsidR="0013653B">
        <w:t>Developing advanced clinical practice roles, as well as the level of practice just below and above ACP level should be considered a key component of contemporary workforce planning, as described in the NHS Long Term Plan.</w:t>
      </w:r>
    </w:p>
    <w:p w:rsidR="0013653B" w:rsidRDefault="0013653B" w:rsidP="0013653B">
      <w:r>
        <w:t>The NHS Long-Term Plan highlights how advanced clinical practice is central to helping transform service delivery and better meet local health needs by providing enhanced capacity, capability, productivity and efficiency within multi-professional teams.</w:t>
      </w:r>
    </w:p>
    <w:p w:rsidR="00057684" w:rsidRDefault="0013653B" w:rsidP="0013653B">
      <w:r>
        <w:t xml:space="preserve">Funding to support GPNs through their ACP training is available through </w:t>
      </w:r>
      <w:r w:rsidR="006F7C44">
        <w:t xml:space="preserve">Health Education England or through </w:t>
      </w:r>
      <w:r>
        <w:t xml:space="preserve">continued professional development monies and can be applied for via </w:t>
      </w:r>
      <w:r w:rsidR="006F7C44">
        <w:t xml:space="preserve">HEE or </w:t>
      </w:r>
      <w:r>
        <w:t>the TH by individual practice managers in response to PDP or training needs analysis.</w:t>
      </w:r>
    </w:p>
    <w:p w:rsidR="00057684" w:rsidRDefault="00057684">
      <w:r>
        <w:br w:type="page"/>
      </w:r>
    </w:p>
    <w:p w:rsidR="005C66B0" w:rsidRDefault="005C66B0" w:rsidP="0013653B"/>
    <w:tbl>
      <w:tblPr>
        <w:tblStyle w:val="TableGrid"/>
        <w:tblW w:w="5000" w:type="pct"/>
        <w:tblLayout w:type="fixed"/>
        <w:tblLook w:val="04A0" w:firstRow="1" w:lastRow="0" w:firstColumn="1" w:lastColumn="0" w:noHBand="0" w:noVBand="1"/>
      </w:tblPr>
      <w:tblGrid>
        <w:gridCol w:w="3652"/>
        <w:gridCol w:w="1135"/>
        <w:gridCol w:w="566"/>
        <w:gridCol w:w="2495"/>
        <w:gridCol w:w="553"/>
        <w:gridCol w:w="423"/>
        <w:gridCol w:w="418"/>
      </w:tblGrid>
      <w:tr w:rsidR="005C66B0" w:rsidTr="005C66B0">
        <w:trPr>
          <w:cantSplit/>
          <w:trHeight w:val="1614"/>
        </w:trPr>
        <w:tc>
          <w:tcPr>
            <w:tcW w:w="1976" w:type="pct"/>
            <w:shd w:val="clear" w:color="auto" w:fill="548DD4" w:themeFill="text2" w:themeFillTint="99"/>
            <w:textDirection w:val="btLr"/>
          </w:tcPr>
          <w:p w:rsidR="005C66B0" w:rsidRPr="001F52CF" w:rsidRDefault="005C66B0" w:rsidP="005C66B0">
            <w:pPr>
              <w:ind w:left="113" w:right="113"/>
              <w:rPr>
                <w:b/>
                <w:sz w:val="16"/>
              </w:rPr>
            </w:pPr>
            <w:r w:rsidRPr="00B8790E">
              <w:rPr>
                <w:b/>
                <w:color w:val="FFFFFF" w:themeColor="background1"/>
                <w:sz w:val="20"/>
              </w:rPr>
              <w:t>General Practice Nurse Training &amp; Professional Development</w:t>
            </w:r>
          </w:p>
        </w:tc>
        <w:tc>
          <w:tcPr>
            <w:tcW w:w="614" w:type="pct"/>
            <w:shd w:val="clear" w:color="auto" w:fill="548DD4" w:themeFill="text2" w:themeFillTint="99"/>
            <w:textDirection w:val="btLr"/>
          </w:tcPr>
          <w:p w:rsidR="005C66B0" w:rsidRPr="00B8790E" w:rsidRDefault="005C66B0" w:rsidP="005C66B0">
            <w:pPr>
              <w:ind w:left="113" w:right="113"/>
              <w:rPr>
                <w:b/>
                <w:color w:val="FFFFFF" w:themeColor="background1"/>
                <w:sz w:val="20"/>
              </w:rPr>
            </w:pPr>
            <w:r w:rsidRPr="00B8790E">
              <w:rPr>
                <w:b/>
                <w:color w:val="FFFFFF" w:themeColor="background1"/>
                <w:sz w:val="20"/>
              </w:rPr>
              <w:t>Frequency</w:t>
            </w:r>
          </w:p>
        </w:tc>
        <w:tc>
          <w:tcPr>
            <w:tcW w:w="306" w:type="pct"/>
            <w:shd w:val="clear" w:color="auto" w:fill="548DD4" w:themeFill="text2" w:themeFillTint="99"/>
            <w:textDirection w:val="btLr"/>
          </w:tcPr>
          <w:p w:rsidR="005C66B0" w:rsidRPr="00B8790E" w:rsidRDefault="005C66B0" w:rsidP="005C66B0">
            <w:pPr>
              <w:ind w:left="113" w:right="113"/>
              <w:rPr>
                <w:b/>
                <w:color w:val="FFFFFF" w:themeColor="background1"/>
                <w:sz w:val="18"/>
              </w:rPr>
            </w:pPr>
            <w:r w:rsidRPr="00B8790E">
              <w:rPr>
                <w:b/>
                <w:color w:val="FFFFFF" w:themeColor="background1"/>
                <w:sz w:val="18"/>
              </w:rPr>
              <w:t>Face to Face training</w:t>
            </w:r>
          </w:p>
        </w:tc>
        <w:tc>
          <w:tcPr>
            <w:tcW w:w="1350" w:type="pct"/>
            <w:shd w:val="clear" w:color="auto" w:fill="548DD4" w:themeFill="text2" w:themeFillTint="99"/>
            <w:textDirection w:val="btLr"/>
          </w:tcPr>
          <w:p w:rsidR="005C66B0" w:rsidRPr="00BC6317" w:rsidRDefault="005C66B0" w:rsidP="005C66B0">
            <w:pPr>
              <w:ind w:left="113" w:right="113"/>
              <w:rPr>
                <w:b/>
                <w:color w:val="FFFFFF" w:themeColor="background1"/>
                <w:sz w:val="16"/>
                <w:szCs w:val="16"/>
              </w:rPr>
            </w:pPr>
            <w:r w:rsidRPr="00BC6317">
              <w:rPr>
                <w:b/>
                <w:color w:val="FFFFFF" w:themeColor="background1"/>
                <w:sz w:val="16"/>
                <w:szCs w:val="16"/>
              </w:rPr>
              <w:t>Available Online learning provider</w:t>
            </w:r>
          </w:p>
          <w:p w:rsidR="005C66B0" w:rsidRPr="00BC6317" w:rsidRDefault="00153C5B" w:rsidP="005C66B0">
            <w:pPr>
              <w:ind w:left="113" w:right="113"/>
              <w:rPr>
                <w:b/>
                <w:color w:val="FFFFFF" w:themeColor="background1"/>
                <w:sz w:val="16"/>
                <w:szCs w:val="16"/>
              </w:rPr>
            </w:pPr>
            <w:hyperlink r:id="rId32" w:history="1">
              <w:r w:rsidR="005C66B0" w:rsidRPr="00BC6317">
                <w:rPr>
                  <w:rStyle w:val="Hyperlink"/>
                  <w:b/>
                  <w:color w:val="FFFFFF" w:themeColor="background1"/>
                  <w:sz w:val="16"/>
                  <w:szCs w:val="16"/>
                </w:rPr>
                <w:t>Relias</w:t>
              </w:r>
            </w:hyperlink>
          </w:p>
          <w:p w:rsidR="005C66B0" w:rsidRPr="00BC6317" w:rsidRDefault="00153C5B" w:rsidP="005C66B0">
            <w:pPr>
              <w:ind w:left="113" w:right="113"/>
              <w:rPr>
                <w:rFonts w:cstheme="minorHAnsi"/>
                <w:b/>
                <w:color w:val="FFFFFF" w:themeColor="background1"/>
                <w:sz w:val="14"/>
                <w:szCs w:val="20"/>
              </w:rPr>
            </w:pPr>
            <w:hyperlink r:id="rId33" w:tgtFrame="_blank" w:history="1">
              <w:r w:rsidR="005C66B0" w:rsidRPr="00BC6317">
                <w:rPr>
                  <w:rFonts w:cstheme="minorHAnsi"/>
                  <w:b/>
                  <w:color w:val="FFFFFF" w:themeColor="background1"/>
                  <w:sz w:val="14"/>
                  <w:szCs w:val="20"/>
                  <w:u w:val="single"/>
                </w:rPr>
                <w:t>E-Learning for Health</w:t>
              </w:r>
            </w:hyperlink>
          </w:p>
          <w:p w:rsidR="005C66B0" w:rsidRPr="00BC6317" w:rsidRDefault="00153C5B" w:rsidP="005C66B0">
            <w:pPr>
              <w:ind w:left="113" w:right="113"/>
              <w:rPr>
                <w:b/>
                <w:color w:val="FFFFFF" w:themeColor="background1"/>
                <w:sz w:val="16"/>
                <w:szCs w:val="16"/>
              </w:rPr>
            </w:pPr>
            <w:hyperlink r:id="rId34" w:history="1">
              <w:r w:rsidR="005C66B0" w:rsidRPr="00BC6317">
                <w:rPr>
                  <w:rStyle w:val="Hyperlink"/>
                  <w:b/>
                  <w:color w:val="FFFFFF" w:themeColor="background1"/>
                  <w:sz w:val="16"/>
                  <w:szCs w:val="16"/>
                </w:rPr>
                <w:t>Bluestream Academy</w:t>
              </w:r>
            </w:hyperlink>
          </w:p>
          <w:p w:rsidR="005C66B0" w:rsidRPr="00BC6317" w:rsidRDefault="00153C5B" w:rsidP="005C66B0">
            <w:pPr>
              <w:ind w:left="113" w:right="113"/>
              <w:rPr>
                <w:b/>
                <w:color w:val="FFFFFF" w:themeColor="background1"/>
                <w:sz w:val="16"/>
                <w:szCs w:val="16"/>
              </w:rPr>
            </w:pPr>
            <w:hyperlink r:id="rId35" w:history="1">
              <w:r w:rsidR="005C66B0" w:rsidRPr="00BC6317">
                <w:rPr>
                  <w:rStyle w:val="Hyperlink"/>
                  <w:b/>
                  <w:color w:val="FFFFFF" w:themeColor="background1"/>
                  <w:sz w:val="16"/>
                  <w:szCs w:val="16"/>
                </w:rPr>
                <w:t>Skills for Health</w:t>
              </w:r>
            </w:hyperlink>
          </w:p>
          <w:p w:rsidR="005C66B0" w:rsidRPr="00BC6317" w:rsidRDefault="00153C5B" w:rsidP="005C66B0">
            <w:pPr>
              <w:ind w:left="113" w:right="113"/>
              <w:rPr>
                <w:b/>
                <w:color w:val="FFFFFF" w:themeColor="background1"/>
                <w:sz w:val="16"/>
                <w:szCs w:val="16"/>
              </w:rPr>
            </w:pPr>
            <w:hyperlink r:id="rId36" w:history="1">
              <w:r w:rsidR="005C66B0" w:rsidRPr="00BC6317">
                <w:rPr>
                  <w:rStyle w:val="Hyperlink"/>
                  <w:b/>
                  <w:color w:val="FFFFFF" w:themeColor="background1"/>
                  <w:sz w:val="16"/>
                  <w:szCs w:val="16"/>
                </w:rPr>
                <w:t>Green Book Immunisations</w:t>
              </w:r>
            </w:hyperlink>
          </w:p>
          <w:p w:rsidR="005C66B0" w:rsidRPr="00BC6317" w:rsidRDefault="00153C5B" w:rsidP="005C66B0">
            <w:pPr>
              <w:ind w:left="113" w:right="113"/>
              <w:rPr>
                <w:b/>
                <w:color w:val="FFFFFF" w:themeColor="background1"/>
                <w:sz w:val="16"/>
                <w:szCs w:val="16"/>
              </w:rPr>
            </w:pPr>
            <w:hyperlink r:id="rId37" w:history="1">
              <w:r w:rsidR="005C66B0" w:rsidRPr="00BC6317">
                <w:rPr>
                  <w:rStyle w:val="Hyperlink"/>
                  <w:b/>
                  <w:color w:val="FFFFFF" w:themeColor="background1"/>
                  <w:sz w:val="16"/>
                  <w:szCs w:val="16"/>
                </w:rPr>
                <w:t>Public Health &amp; Immunisation</w:t>
              </w:r>
            </w:hyperlink>
          </w:p>
          <w:p w:rsidR="005C66B0" w:rsidRPr="00BC6317" w:rsidRDefault="005C66B0" w:rsidP="005C66B0">
            <w:pPr>
              <w:ind w:left="113" w:right="113"/>
              <w:rPr>
                <w:b/>
                <w:color w:val="FFFFFF" w:themeColor="background1"/>
                <w:sz w:val="16"/>
                <w:szCs w:val="16"/>
              </w:rPr>
            </w:pPr>
          </w:p>
        </w:tc>
        <w:tc>
          <w:tcPr>
            <w:tcW w:w="299" w:type="pct"/>
            <w:shd w:val="clear" w:color="auto" w:fill="548DD4" w:themeFill="text2" w:themeFillTint="99"/>
            <w:textDirection w:val="btLr"/>
          </w:tcPr>
          <w:p w:rsidR="005C66B0" w:rsidRPr="001F52CF" w:rsidRDefault="005C66B0" w:rsidP="005C66B0">
            <w:pPr>
              <w:ind w:left="113" w:right="113"/>
              <w:rPr>
                <w:b/>
                <w:color w:val="FFFFFF" w:themeColor="background1"/>
                <w:sz w:val="16"/>
              </w:rPr>
            </w:pPr>
            <w:r>
              <w:rPr>
                <w:b/>
                <w:color w:val="FFFFFF" w:themeColor="background1"/>
                <w:sz w:val="16"/>
              </w:rPr>
              <w:t>Nurse Practitioner</w:t>
            </w:r>
          </w:p>
        </w:tc>
        <w:tc>
          <w:tcPr>
            <w:tcW w:w="229" w:type="pct"/>
            <w:shd w:val="clear" w:color="auto" w:fill="548DD4" w:themeFill="text2" w:themeFillTint="99"/>
            <w:textDirection w:val="btLr"/>
          </w:tcPr>
          <w:p w:rsidR="005C66B0" w:rsidRPr="001F52CF" w:rsidRDefault="005C66B0" w:rsidP="005C66B0">
            <w:pPr>
              <w:ind w:left="113" w:right="113"/>
              <w:rPr>
                <w:b/>
                <w:color w:val="FFFFFF" w:themeColor="background1"/>
                <w:sz w:val="16"/>
              </w:rPr>
            </w:pPr>
            <w:r w:rsidRPr="001F52CF">
              <w:rPr>
                <w:b/>
                <w:color w:val="FFFFFF" w:themeColor="background1"/>
                <w:sz w:val="16"/>
              </w:rPr>
              <w:t>Practice Nurse</w:t>
            </w:r>
          </w:p>
        </w:tc>
        <w:tc>
          <w:tcPr>
            <w:tcW w:w="226" w:type="pct"/>
            <w:shd w:val="clear" w:color="auto" w:fill="548DD4" w:themeFill="text2" w:themeFillTint="99"/>
            <w:textDirection w:val="btLr"/>
          </w:tcPr>
          <w:p w:rsidR="005C66B0" w:rsidRPr="001F52CF" w:rsidRDefault="005C66B0" w:rsidP="005C66B0">
            <w:pPr>
              <w:ind w:left="113" w:right="113"/>
              <w:rPr>
                <w:b/>
                <w:color w:val="FFFFFF" w:themeColor="background1"/>
                <w:sz w:val="16"/>
              </w:rPr>
            </w:pPr>
            <w:r w:rsidRPr="001F52CF">
              <w:rPr>
                <w:b/>
                <w:color w:val="FFFFFF" w:themeColor="background1"/>
                <w:sz w:val="16"/>
              </w:rPr>
              <w:t>Nursing Associate</w:t>
            </w:r>
          </w:p>
        </w:tc>
      </w:tr>
      <w:tr w:rsidR="005C66B0" w:rsidRPr="00AA65D8" w:rsidTr="005C66B0">
        <w:tc>
          <w:tcPr>
            <w:tcW w:w="1976" w:type="pct"/>
          </w:tcPr>
          <w:p w:rsidR="005C66B0" w:rsidRPr="001E1B3D" w:rsidRDefault="005C66B0" w:rsidP="00307940">
            <w:pPr>
              <w:ind w:right="113"/>
              <w:rPr>
                <w:sz w:val="18"/>
                <w:szCs w:val="20"/>
              </w:rPr>
            </w:pPr>
            <w:r w:rsidRPr="001E1B3D">
              <w:rPr>
                <w:b/>
                <w:sz w:val="18"/>
                <w:szCs w:val="20"/>
              </w:rPr>
              <w:t>Immunisation Training</w:t>
            </w:r>
            <w:r>
              <w:rPr>
                <w:sz w:val="18"/>
                <w:szCs w:val="20"/>
              </w:rPr>
              <w:t xml:space="preserve"> - I</w:t>
            </w:r>
            <w:r w:rsidRPr="001E1B3D">
              <w:rPr>
                <w:sz w:val="18"/>
                <w:szCs w:val="20"/>
              </w:rPr>
              <w:t>nitial course</w:t>
            </w:r>
          </w:p>
        </w:tc>
        <w:tc>
          <w:tcPr>
            <w:tcW w:w="614" w:type="pct"/>
          </w:tcPr>
          <w:p w:rsidR="005C66B0" w:rsidRPr="00923DF5" w:rsidRDefault="005C66B0" w:rsidP="00307940">
            <w:pPr>
              <w:rPr>
                <w:sz w:val="16"/>
              </w:rPr>
            </w:pPr>
            <w:r>
              <w:rPr>
                <w:sz w:val="16"/>
              </w:rPr>
              <w:t>Once</w:t>
            </w:r>
          </w:p>
        </w:tc>
        <w:tc>
          <w:tcPr>
            <w:tcW w:w="306" w:type="pct"/>
          </w:tcPr>
          <w:p w:rsidR="005C66B0" w:rsidRPr="00AA65D8" w:rsidRDefault="005C66B0" w:rsidP="00307940">
            <w:r w:rsidRPr="000E0EFE">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0E0EFE">
              <w:t>√</w:t>
            </w:r>
          </w:p>
        </w:tc>
        <w:tc>
          <w:tcPr>
            <w:tcW w:w="229" w:type="pct"/>
          </w:tcPr>
          <w:p w:rsidR="005C66B0" w:rsidRPr="00AA65D8" w:rsidRDefault="005C66B0" w:rsidP="00307940">
            <w:r w:rsidRPr="000E0EFE">
              <w:t>√</w:t>
            </w:r>
          </w:p>
        </w:tc>
        <w:tc>
          <w:tcPr>
            <w:tcW w:w="226" w:type="pct"/>
          </w:tcPr>
          <w:p w:rsidR="005C66B0" w:rsidRPr="00AA65D8" w:rsidRDefault="005C66B0" w:rsidP="00307940">
            <w:r w:rsidRPr="000E0EFE">
              <w:t>√</w:t>
            </w:r>
          </w:p>
        </w:tc>
      </w:tr>
      <w:tr w:rsidR="005C66B0" w:rsidRPr="00AA65D8" w:rsidTr="005C66B0">
        <w:tc>
          <w:tcPr>
            <w:tcW w:w="1976" w:type="pct"/>
          </w:tcPr>
          <w:p w:rsidR="005C66B0" w:rsidRPr="00C05B6E" w:rsidRDefault="005C66B0" w:rsidP="005C66B0">
            <w:pPr>
              <w:pStyle w:val="ListParagraph"/>
              <w:numPr>
                <w:ilvl w:val="0"/>
                <w:numId w:val="3"/>
              </w:numPr>
              <w:ind w:left="1843" w:right="113" w:hanging="425"/>
              <w:rPr>
                <w:sz w:val="18"/>
                <w:szCs w:val="20"/>
              </w:rPr>
            </w:pPr>
            <w:r w:rsidRPr="00C05B6E">
              <w:rPr>
                <w:sz w:val="18"/>
                <w:szCs w:val="20"/>
              </w:rPr>
              <w:t>Update training</w:t>
            </w:r>
          </w:p>
        </w:tc>
        <w:tc>
          <w:tcPr>
            <w:tcW w:w="614" w:type="pct"/>
          </w:tcPr>
          <w:p w:rsidR="005C66B0" w:rsidRPr="00923DF5" w:rsidRDefault="005C66B0" w:rsidP="00307940">
            <w:pPr>
              <w:rPr>
                <w:sz w:val="16"/>
              </w:rPr>
            </w:pPr>
            <w:r>
              <w:rPr>
                <w:sz w:val="16"/>
              </w:rPr>
              <w:t>Annual</w:t>
            </w:r>
          </w:p>
        </w:tc>
        <w:tc>
          <w:tcPr>
            <w:tcW w:w="306" w:type="pct"/>
          </w:tcPr>
          <w:p w:rsidR="005C66B0" w:rsidRPr="00AA65D8" w:rsidRDefault="005C66B0" w:rsidP="00307940">
            <w:r w:rsidRPr="002C149A">
              <w:t>√</w:t>
            </w:r>
          </w:p>
        </w:tc>
        <w:tc>
          <w:tcPr>
            <w:tcW w:w="1350" w:type="pct"/>
          </w:tcPr>
          <w:p w:rsidR="005C66B0" w:rsidRPr="004A2D95" w:rsidRDefault="005C66B0" w:rsidP="00307940">
            <w:pPr>
              <w:rPr>
                <w:sz w:val="18"/>
              </w:rPr>
            </w:pPr>
            <w:r w:rsidRPr="002C149A">
              <w:rPr>
                <w:sz w:val="18"/>
              </w:rPr>
              <w:t>Available online see above</w:t>
            </w:r>
          </w:p>
        </w:tc>
        <w:tc>
          <w:tcPr>
            <w:tcW w:w="299" w:type="pct"/>
          </w:tcPr>
          <w:p w:rsidR="005C66B0" w:rsidRPr="00AA65D8" w:rsidRDefault="005C66B0" w:rsidP="00307940">
            <w:r w:rsidRPr="000E0EFE">
              <w:t>√</w:t>
            </w:r>
          </w:p>
        </w:tc>
        <w:tc>
          <w:tcPr>
            <w:tcW w:w="229" w:type="pct"/>
          </w:tcPr>
          <w:p w:rsidR="005C66B0" w:rsidRPr="00AA65D8" w:rsidRDefault="005C66B0" w:rsidP="00307940">
            <w:r w:rsidRPr="000E0EFE">
              <w:t>√</w:t>
            </w:r>
          </w:p>
        </w:tc>
        <w:tc>
          <w:tcPr>
            <w:tcW w:w="226" w:type="pct"/>
          </w:tcPr>
          <w:p w:rsidR="005C66B0" w:rsidRPr="00AA65D8" w:rsidRDefault="005C66B0" w:rsidP="00307940">
            <w:r w:rsidRPr="000E0EFE">
              <w:t>√</w:t>
            </w:r>
          </w:p>
        </w:tc>
      </w:tr>
      <w:tr w:rsidR="005C66B0" w:rsidRPr="00AA65D8" w:rsidTr="005C66B0">
        <w:tc>
          <w:tcPr>
            <w:tcW w:w="1976" w:type="pct"/>
          </w:tcPr>
          <w:p w:rsidR="005C66B0" w:rsidRPr="001E1B3D" w:rsidRDefault="005C66B0" w:rsidP="00307940">
            <w:pPr>
              <w:ind w:right="113"/>
              <w:rPr>
                <w:sz w:val="18"/>
                <w:szCs w:val="20"/>
              </w:rPr>
            </w:pPr>
            <w:r w:rsidRPr="001E1B3D">
              <w:rPr>
                <w:b/>
                <w:sz w:val="18"/>
                <w:szCs w:val="20"/>
              </w:rPr>
              <w:t>Clinical Excellence in Ear Care</w:t>
            </w:r>
            <w:r>
              <w:rPr>
                <w:sz w:val="18"/>
                <w:szCs w:val="20"/>
              </w:rPr>
              <w:t xml:space="preserve"> – </w:t>
            </w:r>
            <w:r w:rsidRPr="001E1B3D">
              <w:rPr>
                <w:sz w:val="18"/>
                <w:szCs w:val="20"/>
              </w:rPr>
              <w:t>Initial course</w:t>
            </w:r>
          </w:p>
        </w:tc>
        <w:tc>
          <w:tcPr>
            <w:tcW w:w="614" w:type="pct"/>
          </w:tcPr>
          <w:p w:rsidR="005C66B0" w:rsidRPr="00923DF5" w:rsidRDefault="005C66B0" w:rsidP="00307940">
            <w:pPr>
              <w:rPr>
                <w:sz w:val="16"/>
              </w:rPr>
            </w:pPr>
            <w:r>
              <w:rPr>
                <w:sz w:val="16"/>
              </w:rPr>
              <w:t>Once</w:t>
            </w:r>
          </w:p>
        </w:tc>
        <w:tc>
          <w:tcPr>
            <w:tcW w:w="306" w:type="pct"/>
          </w:tcPr>
          <w:p w:rsidR="005C66B0" w:rsidRPr="00AA65D8" w:rsidRDefault="005C66B0" w:rsidP="00307940">
            <w:r w:rsidRPr="000E0EFE">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0E0EFE">
              <w:t>√</w:t>
            </w:r>
          </w:p>
        </w:tc>
        <w:tc>
          <w:tcPr>
            <w:tcW w:w="229" w:type="pct"/>
          </w:tcPr>
          <w:p w:rsidR="005C66B0" w:rsidRPr="00AA65D8" w:rsidRDefault="005C66B0" w:rsidP="00307940">
            <w:r w:rsidRPr="000E0EFE">
              <w:t>√</w:t>
            </w:r>
          </w:p>
        </w:tc>
        <w:tc>
          <w:tcPr>
            <w:tcW w:w="226" w:type="pct"/>
          </w:tcPr>
          <w:p w:rsidR="005C66B0" w:rsidRPr="00AA65D8" w:rsidRDefault="005C66B0" w:rsidP="00307940">
            <w:r w:rsidRPr="000E0EFE">
              <w:t>√</w:t>
            </w:r>
          </w:p>
        </w:tc>
      </w:tr>
      <w:tr w:rsidR="005C66B0" w:rsidRPr="00AA65D8" w:rsidTr="005C66B0">
        <w:tc>
          <w:tcPr>
            <w:tcW w:w="1976" w:type="pct"/>
          </w:tcPr>
          <w:p w:rsidR="005C66B0" w:rsidRPr="001E1B3D" w:rsidRDefault="005C66B0" w:rsidP="005C66B0">
            <w:pPr>
              <w:pStyle w:val="ListParagraph"/>
              <w:numPr>
                <w:ilvl w:val="0"/>
                <w:numId w:val="4"/>
              </w:numPr>
              <w:ind w:left="1843" w:right="113" w:hanging="425"/>
              <w:rPr>
                <w:sz w:val="18"/>
                <w:szCs w:val="20"/>
              </w:rPr>
            </w:pPr>
            <w:r w:rsidRPr="001E1B3D">
              <w:rPr>
                <w:sz w:val="18"/>
                <w:szCs w:val="20"/>
              </w:rPr>
              <w:t>Update training</w:t>
            </w:r>
          </w:p>
        </w:tc>
        <w:tc>
          <w:tcPr>
            <w:tcW w:w="614" w:type="pct"/>
          </w:tcPr>
          <w:p w:rsidR="005C66B0" w:rsidRPr="00923DF5" w:rsidRDefault="005C66B0" w:rsidP="00307940">
            <w:pPr>
              <w:rPr>
                <w:sz w:val="16"/>
              </w:rPr>
            </w:pPr>
            <w:r>
              <w:rPr>
                <w:sz w:val="16"/>
              </w:rPr>
              <w:t>3 years</w:t>
            </w:r>
          </w:p>
        </w:tc>
        <w:tc>
          <w:tcPr>
            <w:tcW w:w="306" w:type="pct"/>
          </w:tcPr>
          <w:p w:rsidR="005C66B0" w:rsidRPr="00AA65D8" w:rsidRDefault="005C66B0" w:rsidP="00307940"/>
        </w:tc>
        <w:tc>
          <w:tcPr>
            <w:tcW w:w="1350" w:type="pct"/>
          </w:tcPr>
          <w:p w:rsidR="005C66B0" w:rsidRPr="004A2D95" w:rsidRDefault="005C66B0" w:rsidP="00307940">
            <w:pPr>
              <w:rPr>
                <w:sz w:val="18"/>
              </w:rPr>
            </w:pPr>
          </w:p>
        </w:tc>
        <w:tc>
          <w:tcPr>
            <w:tcW w:w="299" w:type="pct"/>
          </w:tcPr>
          <w:p w:rsidR="005C66B0" w:rsidRPr="00AA65D8" w:rsidRDefault="005C66B0" w:rsidP="00307940">
            <w:r w:rsidRPr="000E0EFE">
              <w:t>√</w:t>
            </w:r>
          </w:p>
        </w:tc>
        <w:tc>
          <w:tcPr>
            <w:tcW w:w="229" w:type="pct"/>
          </w:tcPr>
          <w:p w:rsidR="005C66B0" w:rsidRPr="00AA65D8" w:rsidRDefault="005C66B0" w:rsidP="00307940">
            <w:r w:rsidRPr="000E0EFE">
              <w:t>√</w:t>
            </w:r>
          </w:p>
        </w:tc>
        <w:tc>
          <w:tcPr>
            <w:tcW w:w="226" w:type="pct"/>
          </w:tcPr>
          <w:p w:rsidR="005C66B0" w:rsidRPr="00AA65D8" w:rsidRDefault="005C66B0" w:rsidP="00307940">
            <w:r w:rsidRPr="000E0EFE">
              <w:t>√</w:t>
            </w:r>
          </w:p>
        </w:tc>
      </w:tr>
      <w:tr w:rsidR="005C66B0" w:rsidRPr="00AA65D8" w:rsidTr="005C66B0">
        <w:tc>
          <w:tcPr>
            <w:tcW w:w="1976" w:type="pct"/>
          </w:tcPr>
          <w:p w:rsidR="005C66B0" w:rsidRPr="001E1B3D" w:rsidRDefault="005C66B0" w:rsidP="00307940">
            <w:pPr>
              <w:ind w:right="113"/>
              <w:rPr>
                <w:sz w:val="18"/>
                <w:szCs w:val="20"/>
              </w:rPr>
            </w:pPr>
            <w:r w:rsidRPr="001E1B3D">
              <w:rPr>
                <w:b/>
                <w:sz w:val="18"/>
                <w:szCs w:val="20"/>
              </w:rPr>
              <w:t>Cytology</w:t>
            </w:r>
            <w:r>
              <w:rPr>
                <w:sz w:val="18"/>
                <w:szCs w:val="20"/>
              </w:rPr>
              <w:t xml:space="preserve"> - </w:t>
            </w:r>
            <w:r w:rsidRPr="001E1B3D">
              <w:rPr>
                <w:sz w:val="18"/>
                <w:szCs w:val="20"/>
              </w:rPr>
              <w:t>Initial course</w:t>
            </w:r>
          </w:p>
        </w:tc>
        <w:tc>
          <w:tcPr>
            <w:tcW w:w="614" w:type="pct"/>
          </w:tcPr>
          <w:p w:rsidR="005C66B0" w:rsidRPr="00923DF5" w:rsidRDefault="005C66B0" w:rsidP="00307940">
            <w:pPr>
              <w:rPr>
                <w:sz w:val="16"/>
              </w:rPr>
            </w:pPr>
            <w:r>
              <w:rPr>
                <w:sz w:val="16"/>
              </w:rPr>
              <w:t>Once</w:t>
            </w:r>
          </w:p>
        </w:tc>
        <w:tc>
          <w:tcPr>
            <w:tcW w:w="306" w:type="pct"/>
          </w:tcPr>
          <w:p w:rsidR="005C66B0" w:rsidRPr="00AA65D8" w:rsidRDefault="005C66B0" w:rsidP="00307940">
            <w:r w:rsidRPr="000E0EFE">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0E0EFE">
              <w:t>√</w:t>
            </w:r>
          </w:p>
        </w:tc>
        <w:tc>
          <w:tcPr>
            <w:tcW w:w="229" w:type="pct"/>
          </w:tcPr>
          <w:p w:rsidR="005C66B0" w:rsidRPr="00AA65D8" w:rsidRDefault="005C66B0" w:rsidP="00307940">
            <w:r w:rsidRPr="000E0EFE">
              <w:t>√</w:t>
            </w:r>
          </w:p>
        </w:tc>
        <w:tc>
          <w:tcPr>
            <w:tcW w:w="226" w:type="pct"/>
          </w:tcPr>
          <w:p w:rsidR="005C66B0" w:rsidRPr="00AA65D8" w:rsidRDefault="005C66B0" w:rsidP="00307940">
            <w:r w:rsidRPr="00C372A2">
              <w:t>√</w:t>
            </w:r>
          </w:p>
        </w:tc>
      </w:tr>
      <w:tr w:rsidR="005C66B0" w:rsidRPr="00AA65D8" w:rsidTr="005C66B0">
        <w:tc>
          <w:tcPr>
            <w:tcW w:w="1976" w:type="pct"/>
          </w:tcPr>
          <w:p w:rsidR="005C66B0" w:rsidRPr="001E1B3D" w:rsidRDefault="005C66B0" w:rsidP="005C66B0">
            <w:pPr>
              <w:pStyle w:val="ListParagraph"/>
              <w:numPr>
                <w:ilvl w:val="0"/>
                <w:numId w:val="4"/>
              </w:numPr>
              <w:ind w:left="1843" w:right="113"/>
              <w:rPr>
                <w:sz w:val="18"/>
                <w:szCs w:val="20"/>
              </w:rPr>
            </w:pPr>
            <w:r w:rsidRPr="001E1B3D">
              <w:rPr>
                <w:sz w:val="18"/>
                <w:szCs w:val="20"/>
              </w:rPr>
              <w:t>Update training</w:t>
            </w:r>
          </w:p>
        </w:tc>
        <w:tc>
          <w:tcPr>
            <w:tcW w:w="614" w:type="pct"/>
          </w:tcPr>
          <w:p w:rsidR="005C66B0" w:rsidRPr="00923DF5" w:rsidRDefault="005C66B0" w:rsidP="00307940">
            <w:pPr>
              <w:rPr>
                <w:sz w:val="16"/>
              </w:rPr>
            </w:pPr>
            <w:r>
              <w:rPr>
                <w:sz w:val="16"/>
              </w:rPr>
              <w:t>3 years</w:t>
            </w:r>
          </w:p>
        </w:tc>
        <w:tc>
          <w:tcPr>
            <w:tcW w:w="306" w:type="pct"/>
          </w:tcPr>
          <w:p w:rsidR="005C66B0" w:rsidRPr="00AA65D8" w:rsidRDefault="005C66B0" w:rsidP="00307940"/>
        </w:tc>
        <w:tc>
          <w:tcPr>
            <w:tcW w:w="1350" w:type="pct"/>
          </w:tcPr>
          <w:p w:rsidR="005C66B0" w:rsidRPr="004A2D95" w:rsidRDefault="005C66B0" w:rsidP="00307940">
            <w:pPr>
              <w:rPr>
                <w:sz w:val="18"/>
              </w:rPr>
            </w:pPr>
            <w:r w:rsidRPr="002C149A">
              <w:rPr>
                <w:sz w:val="18"/>
              </w:rPr>
              <w:t>Available online see above</w:t>
            </w:r>
          </w:p>
        </w:tc>
        <w:tc>
          <w:tcPr>
            <w:tcW w:w="299" w:type="pct"/>
          </w:tcPr>
          <w:p w:rsidR="005C66B0" w:rsidRPr="00AA65D8" w:rsidRDefault="005C66B0" w:rsidP="00307940">
            <w:r w:rsidRPr="000E0EFE">
              <w:t>√</w:t>
            </w:r>
          </w:p>
        </w:tc>
        <w:tc>
          <w:tcPr>
            <w:tcW w:w="229" w:type="pct"/>
          </w:tcPr>
          <w:p w:rsidR="005C66B0" w:rsidRPr="00AA65D8" w:rsidRDefault="005C66B0" w:rsidP="00307940">
            <w:r w:rsidRPr="000E0EFE">
              <w:t>√</w:t>
            </w:r>
          </w:p>
        </w:tc>
        <w:tc>
          <w:tcPr>
            <w:tcW w:w="226" w:type="pct"/>
          </w:tcPr>
          <w:p w:rsidR="005C66B0" w:rsidRPr="00AA65D8" w:rsidRDefault="005C66B0" w:rsidP="00307940">
            <w:r w:rsidRPr="00C372A2">
              <w:t>√</w:t>
            </w:r>
          </w:p>
        </w:tc>
      </w:tr>
      <w:tr w:rsidR="005C66B0" w:rsidRPr="00AA65D8" w:rsidTr="005C66B0">
        <w:tc>
          <w:tcPr>
            <w:tcW w:w="1976" w:type="pct"/>
          </w:tcPr>
          <w:p w:rsidR="005C66B0" w:rsidRPr="001E1B3D" w:rsidRDefault="005C66B0" w:rsidP="00307940">
            <w:pPr>
              <w:ind w:right="113"/>
              <w:rPr>
                <w:sz w:val="18"/>
                <w:szCs w:val="20"/>
              </w:rPr>
            </w:pPr>
            <w:r>
              <w:rPr>
                <w:b/>
                <w:sz w:val="18"/>
                <w:szCs w:val="20"/>
              </w:rPr>
              <w:t>Venepuncture -</w:t>
            </w:r>
            <w:r w:rsidRPr="001E1B3D">
              <w:rPr>
                <w:sz w:val="18"/>
                <w:szCs w:val="20"/>
              </w:rPr>
              <w:t xml:space="preserve"> Initial course</w:t>
            </w:r>
          </w:p>
        </w:tc>
        <w:tc>
          <w:tcPr>
            <w:tcW w:w="614" w:type="pct"/>
          </w:tcPr>
          <w:p w:rsidR="005C66B0" w:rsidRPr="00923DF5" w:rsidRDefault="005C66B0" w:rsidP="00307940">
            <w:pPr>
              <w:rPr>
                <w:sz w:val="16"/>
              </w:rPr>
            </w:pPr>
            <w:r>
              <w:rPr>
                <w:sz w:val="16"/>
              </w:rPr>
              <w:t>Once</w:t>
            </w:r>
          </w:p>
        </w:tc>
        <w:tc>
          <w:tcPr>
            <w:tcW w:w="306" w:type="pct"/>
          </w:tcPr>
          <w:p w:rsidR="005C66B0" w:rsidRPr="00AA65D8" w:rsidRDefault="005C66B0" w:rsidP="00307940">
            <w:r w:rsidRPr="000E0EFE">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0E0EFE">
              <w:t>√</w:t>
            </w:r>
          </w:p>
        </w:tc>
        <w:tc>
          <w:tcPr>
            <w:tcW w:w="229" w:type="pct"/>
          </w:tcPr>
          <w:p w:rsidR="005C66B0" w:rsidRPr="00AA65D8" w:rsidRDefault="005C66B0" w:rsidP="00307940">
            <w:r w:rsidRPr="000E0EFE">
              <w:t>√</w:t>
            </w:r>
          </w:p>
        </w:tc>
        <w:tc>
          <w:tcPr>
            <w:tcW w:w="226" w:type="pct"/>
          </w:tcPr>
          <w:p w:rsidR="005C66B0" w:rsidRPr="00AA65D8" w:rsidRDefault="005C66B0" w:rsidP="00307940">
            <w:r w:rsidRPr="000E0EFE">
              <w:t>√</w:t>
            </w:r>
          </w:p>
        </w:tc>
      </w:tr>
      <w:tr w:rsidR="005C66B0" w:rsidRPr="00AA65D8" w:rsidTr="005C66B0">
        <w:tc>
          <w:tcPr>
            <w:tcW w:w="1976" w:type="pct"/>
          </w:tcPr>
          <w:p w:rsidR="005C66B0" w:rsidRPr="001E1B3D" w:rsidRDefault="005C66B0" w:rsidP="005C66B0">
            <w:pPr>
              <w:pStyle w:val="ListParagraph"/>
              <w:numPr>
                <w:ilvl w:val="0"/>
                <w:numId w:val="4"/>
              </w:numPr>
              <w:ind w:left="1843" w:right="113"/>
              <w:rPr>
                <w:sz w:val="18"/>
                <w:szCs w:val="20"/>
              </w:rPr>
            </w:pPr>
            <w:r w:rsidRPr="001E1B3D">
              <w:rPr>
                <w:sz w:val="18"/>
                <w:szCs w:val="20"/>
              </w:rPr>
              <w:t>Update training</w:t>
            </w:r>
          </w:p>
        </w:tc>
        <w:tc>
          <w:tcPr>
            <w:tcW w:w="614" w:type="pct"/>
          </w:tcPr>
          <w:p w:rsidR="005C66B0" w:rsidRPr="00923DF5" w:rsidRDefault="005C66B0" w:rsidP="00307940">
            <w:pPr>
              <w:rPr>
                <w:sz w:val="16"/>
              </w:rPr>
            </w:pPr>
            <w:r>
              <w:rPr>
                <w:sz w:val="16"/>
              </w:rPr>
              <w:t>3 years</w:t>
            </w:r>
          </w:p>
        </w:tc>
        <w:tc>
          <w:tcPr>
            <w:tcW w:w="306" w:type="pct"/>
          </w:tcPr>
          <w:p w:rsidR="005C66B0" w:rsidRPr="00AA65D8" w:rsidRDefault="005C66B0" w:rsidP="00307940">
            <w:r w:rsidRPr="002C149A">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0E0EFE">
              <w:t>√</w:t>
            </w:r>
          </w:p>
        </w:tc>
        <w:tc>
          <w:tcPr>
            <w:tcW w:w="229" w:type="pct"/>
          </w:tcPr>
          <w:p w:rsidR="005C66B0" w:rsidRPr="00AA65D8" w:rsidRDefault="005C66B0" w:rsidP="00307940">
            <w:r w:rsidRPr="000E0EFE">
              <w:t>√</w:t>
            </w:r>
          </w:p>
        </w:tc>
        <w:tc>
          <w:tcPr>
            <w:tcW w:w="226" w:type="pct"/>
          </w:tcPr>
          <w:p w:rsidR="005C66B0" w:rsidRPr="00AA65D8" w:rsidRDefault="005C66B0" w:rsidP="00307940">
            <w:r w:rsidRPr="000E0EFE">
              <w:t>√</w:t>
            </w:r>
          </w:p>
        </w:tc>
      </w:tr>
      <w:tr w:rsidR="005C66B0" w:rsidRPr="00AA65D8" w:rsidTr="005C66B0">
        <w:tc>
          <w:tcPr>
            <w:tcW w:w="1976" w:type="pct"/>
          </w:tcPr>
          <w:p w:rsidR="005C66B0" w:rsidRPr="00923DF5" w:rsidRDefault="005C66B0" w:rsidP="00307940">
            <w:pPr>
              <w:pStyle w:val="ListParagraph"/>
              <w:ind w:right="113" w:hanging="720"/>
              <w:rPr>
                <w:b/>
                <w:sz w:val="18"/>
                <w:szCs w:val="20"/>
              </w:rPr>
            </w:pPr>
            <w:r>
              <w:rPr>
                <w:b/>
                <w:sz w:val="18"/>
                <w:szCs w:val="20"/>
              </w:rPr>
              <w:t>Basic Wound Care</w:t>
            </w:r>
          </w:p>
        </w:tc>
        <w:tc>
          <w:tcPr>
            <w:tcW w:w="614" w:type="pct"/>
          </w:tcPr>
          <w:p w:rsidR="005C66B0" w:rsidRPr="00C05B6E" w:rsidRDefault="005C66B0" w:rsidP="00307940">
            <w:pPr>
              <w:rPr>
                <w:sz w:val="16"/>
              </w:rPr>
            </w:pPr>
            <w:r w:rsidRPr="00C05B6E">
              <w:rPr>
                <w:sz w:val="16"/>
              </w:rPr>
              <w:t>Once</w:t>
            </w:r>
          </w:p>
        </w:tc>
        <w:tc>
          <w:tcPr>
            <w:tcW w:w="306" w:type="pct"/>
          </w:tcPr>
          <w:p w:rsidR="005C66B0" w:rsidRPr="00FE1A1D" w:rsidRDefault="005C66B0" w:rsidP="00307940">
            <w:r w:rsidRPr="002C149A">
              <w:t>√</w:t>
            </w:r>
          </w:p>
        </w:tc>
        <w:tc>
          <w:tcPr>
            <w:tcW w:w="1350" w:type="pct"/>
          </w:tcPr>
          <w:p w:rsidR="005C66B0" w:rsidRPr="004A2D95" w:rsidRDefault="005C66B0" w:rsidP="00307940">
            <w:pPr>
              <w:rPr>
                <w:sz w:val="18"/>
              </w:rPr>
            </w:pPr>
            <w:r w:rsidRPr="002C149A">
              <w:rPr>
                <w:sz w:val="18"/>
              </w:rPr>
              <w:t>Available online see above</w:t>
            </w:r>
          </w:p>
        </w:tc>
        <w:tc>
          <w:tcPr>
            <w:tcW w:w="299" w:type="pct"/>
          </w:tcPr>
          <w:p w:rsidR="005C66B0" w:rsidRPr="00AA65D8" w:rsidRDefault="005C66B0" w:rsidP="00307940">
            <w:r w:rsidRPr="001F52CF">
              <w:t>√</w:t>
            </w:r>
          </w:p>
        </w:tc>
        <w:tc>
          <w:tcPr>
            <w:tcW w:w="229" w:type="pct"/>
          </w:tcPr>
          <w:p w:rsidR="005C66B0" w:rsidRPr="00AA65D8" w:rsidRDefault="005C66B0" w:rsidP="00307940">
            <w:r w:rsidRPr="001F52CF">
              <w:t>√</w:t>
            </w:r>
          </w:p>
        </w:tc>
        <w:tc>
          <w:tcPr>
            <w:tcW w:w="226" w:type="pct"/>
          </w:tcPr>
          <w:p w:rsidR="005C66B0" w:rsidRPr="00AA65D8" w:rsidRDefault="005C66B0" w:rsidP="00307940">
            <w:r w:rsidRPr="001F52CF">
              <w:t>√</w:t>
            </w:r>
          </w:p>
        </w:tc>
      </w:tr>
      <w:tr w:rsidR="005C66B0" w:rsidRPr="00AA65D8" w:rsidTr="005C66B0">
        <w:tc>
          <w:tcPr>
            <w:tcW w:w="1976" w:type="pct"/>
          </w:tcPr>
          <w:p w:rsidR="005C66B0" w:rsidRPr="001E1B3D" w:rsidRDefault="005C66B0" w:rsidP="00307940">
            <w:pPr>
              <w:ind w:right="113"/>
              <w:rPr>
                <w:sz w:val="18"/>
                <w:szCs w:val="20"/>
              </w:rPr>
            </w:pPr>
            <w:r>
              <w:rPr>
                <w:b/>
                <w:sz w:val="18"/>
                <w:szCs w:val="20"/>
              </w:rPr>
              <w:t xml:space="preserve">Vitamin B12 - </w:t>
            </w:r>
            <w:r w:rsidRPr="001E1B3D">
              <w:rPr>
                <w:sz w:val="18"/>
                <w:szCs w:val="20"/>
              </w:rPr>
              <w:t>Awareness</w:t>
            </w:r>
          </w:p>
        </w:tc>
        <w:tc>
          <w:tcPr>
            <w:tcW w:w="614" w:type="pct"/>
          </w:tcPr>
          <w:p w:rsidR="005C66B0" w:rsidRPr="00923DF5" w:rsidRDefault="005C66B0" w:rsidP="00307940">
            <w:pPr>
              <w:rPr>
                <w:sz w:val="16"/>
              </w:rPr>
            </w:pPr>
            <w:r>
              <w:rPr>
                <w:sz w:val="16"/>
              </w:rPr>
              <w:t>Once</w:t>
            </w:r>
          </w:p>
        </w:tc>
        <w:tc>
          <w:tcPr>
            <w:tcW w:w="306" w:type="pct"/>
          </w:tcPr>
          <w:p w:rsidR="005C66B0" w:rsidRPr="00AA65D8" w:rsidRDefault="005C66B0" w:rsidP="00307940">
            <w:r w:rsidRPr="002C149A">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1F52CF">
              <w:t>√</w:t>
            </w:r>
          </w:p>
        </w:tc>
        <w:tc>
          <w:tcPr>
            <w:tcW w:w="229" w:type="pct"/>
          </w:tcPr>
          <w:p w:rsidR="005C66B0" w:rsidRPr="00AA65D8" w:rsidRDefault="005C66B0" w:rsidP="00307940">
            <w:r w:rsidRPr="001F52CF">
              <w:t>√</w:t>
            </w:r>
          </w:p>
        </w:tc>
        <w:tc>
          <w:tcPr>
            <w:tcW w:w="226" w:type="pct"/>
          </w:tcPr>
          <w:p w:rsidR="005C66B0" w:rsidRPr="00AA65D8" w:rsidRDefault="005C66B0" w:rsidP="00307940">
            <w:r w:rsidRPr="001F52CF">
              <w:t>√</w:t>
            </w:r>
          </w:p>
        </w:tc>
      </w:tr>
      <w:tr w:rsidR="005C66B0" w:rsidRPr="00AA65D8" w:rsidTr="005C66B0">
        <w:tc>
          <w:tcPr>
            <w:tcW w:w="1976" w:type="pct"/>
          </w:tcPr>
          <w:p w:rsidR="005C66B0" w:rsidRPr="001E1B3D" w:rsidRDefault="005C66B0" w:rsidP="005C66B0">
            <w:pPr>
              <w:pStyle w:val="ListParagraph"/>
              <w:numPr>
                <w:ilvl w:val="0"/>
                <w:numId w:val="4"/>
              </w:numPr>
              <w:ind w:left="1843" w:right="113" w:hanging="425"/>
              <w:rPr>
                <w:sz w:val="18"/>
                <w:szCs w:val="20"/>
              </w:rPr>
            </w:pPr>
            <w:r w:rsidRPr="001E1B3D">
              <w:rPr>
                <w:sz w:val="18"/>
                <w:szCs w:val="20"/>
              </w:rPr>
              <w:t>Administration</w:t>
            </w:r>
          </w:p>
        </w:tc>
        <w:tc>
          <w:tcPr>
            <w:tcW w:w="614" w:type="pct"/>
          </w:tcPr>
          <w:p w:rsidR="005C66B0" w:rsidRPr="00923DF5" w:rsidRDefault="005C66B0" w:rsidP="00307940">
            <w:pPr>
              <w:rPr>
                <w:sz w:val="16"/>
              </w:rPr>
            </w:pPr>
            <w:r>
              <w:rPr>
                <w:sz w:val="16"/>
              </w:rPr>
              <w:t>Once</w:t>
            </w:r>
          </w:p>
        </w:tc>
        <w:tc>
          <w:tcPr>
            <w:tcW w:w="306" w:type="pct"/>
          </w:tcPr>
          <w:p w:rsidR="005C66B0" w:rsidRPr="00AA65D8" w:rsidRDefault="005C66B0" w:rsidP="00307940">
            <w:r w:rsidRPr="002C149A">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1F52CF">
              <w:t>√</w:t>
            </w:r>
          </w:p>
        </w:tc>
        <w:tc>
          <w:tcPr>
            <w:tcW w:w="229" w:type="pct"/>
          </w:tcPr>
          <w:p w:rsidR="005C66B0" w:rsidRPr="00AA65D8" w:rsidRDefault="005C66B0" w:rsidP="00307940">
            <w:r w:rsidRPr="001F52CF">
              <w:t>√</w:t>
            </w:r>
          </w:p>
        </w:tc>
        <w:tc>
          <w:tcPr>
            <w:tcW w:w="226" w:type="pct"/>
          </w:tcPr>
          <w:p w:rsidR="005C66B0" w:rsidRPr="00AA65D8" w:rsidRDefault="005C66B0" w:rsidP="00307940">
            <w:r w:rsidRPr="001F52CF">
              <w:t>√</w:t>
            </w:r>
          </w:p>
        </w:tc>
      </w:tr>
      <w:tr w:rsidR="005C66B0" w:rsidRPr="00AA65D8" w:rsidTr="005C66B0">
        <w:tc>
          <w:tcPr>
            <w:tcW w:w="1976" w:type="pct"/>
          </w:tcPr>
          <w:p w:rsidR="005C66B0" w:rsidRPr="00923DF5" w:rsidRDefault="005C66B0" w:rsidP="00307940">
            <w:pPr>
              <w:pStyle w:val="ListParagraph"/>
              <w:ind w:left="0" w:right="113"/>
              <w:rPr>
                <w:b/>
                <w:sz w:val="18"/>
                <w:szCs w:val="20"/>
              </w:rPr>
            </w:pPr>
            <w:r>
              <w:rPr>
                <w:b/>
                <w:sz w:val="18"/>
                <w:szCs w:val="20"/>
              </w:rPr>
              <w:t>Control of Substances Hazardous to Health</w:t>
            </w:r>
          </w:p>
        </w:tc>
        <w:tc>
          <w:tcPr>
            <w:tcW w:w="614" w:type="pct"/>
          </w:tcPr>
          <w:p w:rsidR="005C66B0" w:rsidRPr="000E0EFE" w:rsidRDefault="005C66B0" w:rsidP="00307940">
            <w:pPr>
              <w:rPr>
                <w:sz w:val="16"/>
              </w:rPr>
            </w:pPr>
            <w:r>
              <w:rPr>
                <w:sz w:val="16"/>
              </w:rPr>
              <w:t>Risk assess</w:t>
            </w:r>
          </w:p>
        </w:tc>
        <w:tc>
          <w:tcPr>
            <w:tcW w:w="306" w:type="pct"/>
          </w:tcPr>
          <w:p w:rsidR="005C66B0" w:rsidRPr="00FE1A1D" w:rsidRDefault="005C66B0" w:rsidP="00307940"/>
        </w:tc>
        <w:tc>
          <w:tcPr>
            <w:tcW w:w="1350" w:type="pct"/>
          </w:tcPr>
          <w:p w:rsidR="005C66B0" w:rsidRPr="004A2D95" w:rsidRDefault="005C66B0" w:rsidP="00307940">
            <w:pPr>
              <w:rPr>
                <w:sz w:val="18"/>
              </w:rPr>
            </w:pPr>
            <w:r w:rsidRPr="002C149A">
              <w:rPr>
                <w:sz w:val="18"/>
              </w:rPr>
              <w:t>Available online see above</w:t>
            </w:r>
          </w:p>
        </w:tc>
        <w:tc>
          <w:tcPr>
            <w:tcW w:w="299" w:type="pct"/>
          </w:tcPr>
          <w:p w:rsidR="005C66B0" w:rsidRPr="00AA65D8" w:rsidRDefault="005C66B0" w:rsidP="00307940">
            <w:r w:rsidRPr="001F52CF">
              <w:t>√</w:t>
            </w:r>
          </w:p>
        </w:tc>
        <w:tc>
          <w:tcPr>
            <w:tcW w:w="229" w:type="pct"/>
          </w:tcPr>
          <w:p w:rsidR="005C66B0" w:rsidRPr="00AA65D8" w:rsidRDefault="005C66B0" w:rsidP="00307940">
            <w:r w:rsidRPr="001F52CF">
              <w:t>√</w:t>
            </w:r>
          </w:p>
        </w:tc>
        <w:tc>
          <w:tcPr>
            <w:tcW w:w="226" w:type="pct"/>
          </w:tcPr>
          <w:p w:rsidR="005C66B0" w:rsidRPr="00AA65D8" w:rsidRDefault="005C66B0" w:rsidP="00307940">
            <w:r w:rsidRPr="001F52CF">
              <w:t>√</w:t>
            </w:r>
          </w:p>
        </w:tc>
      </w:tr>
      <w:tr w:rsidR="005C66B0" w:rsidRPr="00AA65D8" w:rsidTr="005C66B0">
        <w:tc>
          <w:tcPr>
            <w:tcW w:w="1976" w:type="pct"/>
          </w:tcPr>
          <w:p w:rsidR="005C66B0" w:rsidRPr="00923DF5" w:rsidRDefault="005C66B0" w:rsidP="00307940">
            <w:pPr>
              <w:pStyle w:val="ListParagraph"/>
              <w:ind w:right="113" w:hanging="720"/>
              <w:rPr>
                <w:b/>
                <w:sz w:val="18"/>
                <w:szCs w:val="20"/>
              </w:rPr>
            </w:pPr>
            <w:r>
              <w:rPr>
                <w:b/>
                <w:sz w:val="18"/>
                <w:szCs w:val="20"/>
              </w:rPr>
              <w:t>Medicines Management</w:t>
            </w:r>
          </w:p>
        </w:tc>
        <w:tc>
          <w:tcPr>
            <w:tcW w:w="614" w:type="pct"/>
          </w:tcPr>
          <w:p w:rsidR="005C66B0" w:rsidRPr="000E0EFE" w:rsidRDefault="005C66B0" w:rsidP="00307940">
            <w:pPr>
              <w:rPr>
                <w:sz w:val="16"/>
              </w:rPr>
            </w:pPr>
            <w:r>
              <w:rPr>
                <w:sz w:val="16"/>
              </w:rPr>
              <w:t>CPD assess</w:t>
            </w:r>
          </w:p>
        </w:tc>
        <w:tc>
          <w:tcPr>
            <w:tcW w:w="306" w:type="pct"/>
          </w:tcPr>
          <w:p w:rsidR="005C66B0" w:rsidRPr="00FE1A1D" w:rsidRDefault="005C66B0" w:rsidP="00307940">
            <w:r w:rsidRPr="002C149A">
              <w:t>√</w:t>
            </w:r>
          </w:p>
        </w:tc>
        <w:tc>
          <w:tcPr>
            <w:tcW w:w="1350" w:type="pct"/>
          </w:tcPr>
          <w:p w:rsidR="005C66B0" w:rsidRPr="004A2D95" w:rsidRDefault="005C66B0" w:rsidP="00307940">
            <w:pPr>
              <w:rPr>
                <w:sz w:val="18"/>
              </w:rPr>
            </w:pPr>
            <w:r w:rsidRPr="002C149A">
              <w:rPr>
                <w:sz w:val="18"/>
              </w:rPr>
              <w:t>Available online see above</w:t>
            </w:r>
          </w:p>
        </w:tc>
        <w:tc>
          <w:tcPr>
            <w:tcW w:w="299" w:type="pct"/>
          </w:tcPr>
          <w:p w:rsidR="005C66B0" w:rsidRPr="00AA65D8" w:rsidRDefault="005C66B0" w:rsidP="00307940">
            <w:r w:rsidRPr="001F52CF">
              <w:t>√</w:t>
            </w:r>
          </w:p>
        </w:tc>
        <w:tc>
          <w:tcPr>
            <w:tcW w:w="229" w:type="pct"/>
          </w:tcPr>
          <w:p w:rsidR="005C66B0" w:rsidRPr="00AA65D8" w:rsidRDefault="005C66B0" w:rsidP="00307940">
            <w:r w:rsidRPr="001F52CF">
              <w:t>√</w:t>
            </w:r>
          </w:p>
        </w:tc>
        <w:tc>
          <w:tcPr>
            <w:tcW w:w="226" w:type="pct"/>
          </w:tcPr>
          <w:p w:rsidR="005C66B0" w:rsidRPr="00AA65D8" w:rsidRDefault="005C66B0" w:rsidP="00307940">
            <w:r w:rsidRPr="001F52CF">
              <w:t>√</w:t>
            </w:r>
          </w:p>
        </w:tc>
      </w:tr>
      <w:tr w:rsidR="005C66B0" w:rsidRPr="00AA65D8" w:rsidTr="005C66B0">
        <w:tc>
          <w:tcPr>
            <w:tcW w:w="1976" w:type="pct"/>
          </w:tcPr>
          <w:p w:rsidR="005C66B0" w:rsidRPr="00923DF5" w:rsidRDefault="005C66B0" w:rsidP="00307940">
            <w:pPr>
              <w:pStyle w:val="ListParagraph"/>
              <w:ind w:right="113" w:hanging="720"/>
              <w:rPr>
                <w:b/>
                <w:sz w:val="18"/>
                <w:szCs w:val="20"/>
              </w:rPr>
            </w:pPr>
            <w:r>
              <w:rPr>
                <w:b/>
                <w:sz w:val="18"/>
                <w:szCs w:val="20"/>
              </w:rPr>
              <w:t>Medical Devices</w:t>
            </w:r>
          </w:p>
        </w:tc>
        <w:tc>
          <w:tcPr>
            <w:tcW w:w="614" w:type="pct"/>
          </w:tcPr>
          <w:p w:rsidR="005C66B0" w:rsidRPr="000E0EFE" w:rsidRDefault="005C66B0" w:rsidP="00307940">
            <w:pPr>
              <w:rPr>
                <w:sz w:val="16"/>
              </w:rPr>
            </w:pPr>
            <w:r>
              <w:rPr>
                <w:sz w:val="16"/>
              </w:rPr>
              <w:t>Device driven</w:t>
            </w:r>
          </w:p>
        </w:tc>
        <w:tc>
          <w:tcPr>
            <w:tcW w:w="306" w:type="pct"/>
          </w:tcPr>
          <w:p w:rsidR="005C66B0" w:rsidRPr="00FE1A1D" w:rsidRDefault="005C66B0" w:rsidP="00307940">
            <w:r w:rsidRPr="002C149A">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1F52CF">
              <w:t>√</w:t>
            </w:r>
          </w:p>
        </w:tc>
        <w:tc>
          <w:tcPr>
            <w:tcW w:w="229" w:type="pct"/>
          </w:tcPr>
          <w:p w:rsidR="005C66B0" w:rsidRPr="00AA65D8" w:rsidRDefault="005C66B0" w:rsidP="00307940">
            <w:r w:rsidRPr="001F52CF">
              <w:t>√</w:t>
            </w:r>
          </w:p>
        </w:tc>
        <w:tc>
          <w:tcPr>
            <w:tcW w:w="226" w:type="pct"/>
          </w:tcPr>
          <w:p w:rsidR="005C66B0" w:rsidRPr="00AA65D8" w:rsidRDefault="005C66B0" w:rsidP="00307940">
            <w:r w:rsidRPr="001F52CF">
              <w:t>√</w:t>
            </w:r>
          </w:p>
        </w:tc>
      </w:tr>
      <w:tr w:rsidR="005C66B0" w:rsidRPr="00AA65D8" w:rsidTr="005C66B0">
        <w:tc>
          <w:tcPr>
            <w:tcW w:w="1976" w:type="pct"/>
          </w:tcPr>
          <w:p w:rsidR="005C66B0" w:rsidRPr="00923DF5" w:rsidRDefault="005C66B0" w:rsidP="00307940">
            <w:pPr>
              <w:pStyle w:val="ListParagraph"/>
              <w:ind w:right="113" w:hanging="720"/>
              <w:rPr>
                <w:b/>
                <w:sz w:val="18"/>
                <w:szCs w:val="20"/>
              </w:rPr>
            </w:pPr>
            <w:r>
              <w:rPr>
                <w:b/>
                <w:sz w:val="18"/>
                <w:szCs w:val="20"/>
              </w:rPr>
              <w:t>Sexual Health/Family Planning</w:t>
            </w:r>
          </w:p>
        </w:tc>
        <w:tc>
          <w:tcPr>
            <w:tcW w:w="614" w:type="pct"/>
          </w:tcPr>
          <w:p w:rsidR="005C66B0" w:rsidRPr="000E0EFE" w:rsidRDefault="005C66B0" w:rsidP="00307940">
            <w:pPr>
              <w:rPr>
                <w:sz w:val="16"/>
              </w:rPr>
            </w:pPr>
            <w:r>
              <w:rPr>
                <w:sz w:val="16"/>
              </w:rPr>
              <w:t>CPD assess</w:t>
            </w:r>
          </w:p>
        </w:tc>
        <w:tc>
          <w:tcPr>
            <w:tcW w:w="306" w:type="pct"/>
          </w:tcPr>
          <w:p w:rsidR="005C66B0" w:rsidRPr="00FE1A1D" w:rsidRDefault="005C66B0" w:rsidP="00307940">
            <w:r w:rsidRPr="002C149A">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1F52CF">
              <w:t>√</w:t>
            </w:r>
          </w:p>
        </w:tc>
        <w:tc>
          <w:tcPr>
            <w:tcW w:w="229" w:type="pct"/>
          </w:tcPr>
          <w:p w:rsidR="005C66B0" w:rsidRPr="00AA65D8" w:rsidRDefault="005C66B0" w:rsidP="00307940">
            <w:r w:rsidRPr="001F52CF">
              <w:t>√</w:t>
            </w:r>
          </w:p>
        </w:tc>
        <w:tc>
          <w:tcPr>
            <w:tcW w:w="226" w:type="pct"/>
          </w:tcPr>
          <w:p w:rsidR="005C66B0" w:rsidRPr="00AA65D8" w:rsidRDefault="005C66B0" w:rsidP="00307940">
            <w:r w:rsidRPr="001F52CF">
              <w:t>√</w:t>
            </w:r>
          </w:p>
        </w:tc>
      </w:tr>
      <w:tr w:rsidR="005C66B0" w:rsidRPr="00AA65D8" w:rsidTr="005C66B0">
        <w:tc>
          <w:tcPr>
            <w:tcW w:w="5000" w:type="pct"/>
            <w:gridSpan w:val="7"/>
          </w:tcPr>
          <w:p w:rsidR="005C66B0" w:rsidRPr="00B8790E" w:rsidRDefault="005C66B0" w:rsidP="00307940">
            <w:r w:rsidRPr="001E1B3D">
              <w:rPr>
                <w:b/>
                <w:sz w:val="18"/>
                <w:szCs w:val="20"/>
              </w:rPr>
              <w:t>Long Term Conditions courses / modules</w:t>
            </w:r>
            <w:r>
              <w:rPr>
                <w:b/>
                <w:sz w:val="18"/>
                <w:szCs w:val="20"/>
              </w:rPr>
              <w:t xml:space="preserve">: </w:t>
            </w:r>
            <w:r>
              <w:rPr>
                <w:sz w:val="18"/>
                <w:szCs w:val="20"/>
              </w:rPr>
              <w:t>Asthma, COPD, Diabetes, Cardiovascular disease, Spirometry, Palliative Care, Atrial Fibrillation &amp; Stroke Prevention</w:t>
            </w:r>
          </w:p>
        </w:tc>
      </w:tr>
      <w:tr w:rsidR="005C66B0" w:rsidRPr="00AA65D8" w:rsidTr="005C66B0">
        <w:tc>
          <w:tcPr>
            <w:tcW w:w="1976" w:type="pct"/>
          </w:tcPr>
          <w:p w:rsidR="005C66B0" w:rsidRDefault="005C66B0" w:rsidP="00307940">
            <w:pPr>
              <w:rPr>
                <w:b/>
                <w:sz w:val="18"/>
                <w:szCs w:val="20"/>
              </w:rPr>
            </w:pPr>
            <w:r>
              <w:rPr>
                <w:b/>
                <w:sz w:val="18"/>
                <w:szCs w:val="20"/>
              </w:rPr>
              <w:t>Advanced Clinical Practice</w:t>
            </w:r>
          </w:p>
        </w:tc>
        <w:tc>
          <w:tcPr>
            <w:tcW w:w="614" w:type="pct"/>
          </w:tcPr>
          <w:p w:rsidR="005C66B0" w:rsidRPr="00923DF5" w:rsidRDefault="005C66B0" w:rsidP="00307940">
            <w:pPr>
              <w:rPr>
                <w:sz w:val="16"/>
              </w:rPr>
            </w:pPr>
            <w:r>
              <w:rPr>
                <w:sz w:val="16"/>
              </w:rPr>
              <w:t>once</w:t>
            </w:r>
          </w:p>
        </w:tc>
        <w:tc>
          <w:tcPr>
            <w:tcW w:w="306" w:type="pct"/>
          </w:tcPr>
          <w:p w:rsidR="005C66B0" w:rsidRPr="00FE1A1D" w:rsidRDefault="005C66B0" w:rsidP="00307940">
            <w:r w:rsidRPr="004024D7">
              <w:t>√</w:t>
            </w:r>
          </w:p>
        </w:tc>
        <w:tc>
          <w:tcPr>
            <w:tcW w:w="1350" w:type="pct"/>
          </w:tcPr>
          <w:p w:rsidR="005C66B0" w:rsidRPr="004A2D95" w:rsidRDefault="005C66B0" w:rsidP="00307940">
            <w:pPr>
              <w:rPr>
                <w:sz w:val="18"/>
              </w:rPr>
            </w:pPr>
          </w:p>
        </w:tc>
        <w:tc>
          <w:tcPr>
            <w:tcW w:w="299" w:type="pct"/>
          </w:tcPr>
          <w:p w:rsidR="005C66B0" w:rsidRPr="00104EB1" w:rsidRDefault="005C66B0" w:rsidP="00307940">
            <w:r w:rsidRPr="007B2149">
              <w:t>√</w:t>
            </w:r>
          </w:p>
        </w:tc>
        <w:tc>
          <w:tcPr>
            <w:tcW w:w="229" w:type="pct"/>
          </w:tcPr>
          <w:p w:rsidR="005C66B0" w:rsidRPr="00104EB1" w:rsidRDefault="005C66B0" w:rsidP="00307940">
            <w:r w:rsidRPr="007B2149">
              <w:t>√</w:t>
            </w:r>
          </w:p>
        </w:tc>
        <w:tc>
          <w:tcPr>
            <w:tcW w:w="226" w:type="pct"/>
          </w:tcPr>
          <w:p w:rsidR="005C66B0" w:rsidRPr="00AA65D8" w:rsidRDefault="005C66B0" w:rsidP="00307940"/>
        </w:tc>
      </w:tr>
      <w:tr w:rsidR="005C66B0" w:rsidRPr="00AA65D8" w:rsidTr="005C66B0">
        <w:tc>
          <w:tcPr>
            <w:tcW w:w="1976" w:type="pct"/>
          </w:tcPr>
          <w:p w:rsidR="005C66B0" w:rsidRDefault="005C66B0" w:rsidP="00307940">
            <w:pPr>
              <w:pStyle w:val="ListParagraph"/>
              <w:ind w:hanging="720"/>
              <w:rPr>
                <w:b/>
                <w:sz w:val="18"/>
                <w:szCs w:val="20"/>
              </w:rPr>
            </w:pPr>
            <w:r>
              <w:rPr>
                <w:b/>
                <w:sz w:val="18"/>
                <w:szCs w:val="20"/>
              </w:rPr>
              <w:t>Clinical Supervision</w:t>
            </w:r>
          </w:p>
        </w:tc>
        <w:tc>
          <w:tcPr>
            <w:tcW w:w="614" w:type="pct"/>
          </w:tcPr>
          <w:p w:rsidR="005C66B0" w:rsidRPr="00C05B6E" w:rsidRDefault="005C66B0" w:rsidP="00307940">
            <w:pPr>
              <w:rPr>
                <w:sz w:val="16"/>
              </w:rPr>
            </w:pPr>
            <w:r>
              <w:rPr>
                <w:sz w:val="16"/>
              </w:rPr>
              <w:t>once</w:t>
            </w:r>
          </w:p>
        </w:tc>
        <w:tc>
          <w:tcPr>
            <w:tcW w:w="306" w:type="pct"/>
          </w:tcPr>
          <w:p w:rsidR="005C66B0" w:rsidRPr="00FE1A1D" w:rsidRDefault="005C66B0" w:rsidP="00307940">
            <w:r w:rsidRPr="004024D7">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E41B5B">
              <w:t>√</w:t>
            </w:r>
          </w:p>
        </w:tc>
        <w:tc>
          <w:tcPr>
            <w:tcW w:w="229" w:type="pct"/>
          </w:tcPr>
          <w:p w:rsidR="005C66B0" w:rsidRPr="00AA65D8" w:rsidRDefault="005C66B0" w:rsidP="00307940">
            <w:r w:rsidRPr="00E41B5B">
              <w:t>√</w:t>
            </w:r>
          </w:p>
        </w:tc>
        <w:tc>
          <w:tcPr>
            <w:tcW w:w="226" w:type="pct"/>
          </w:tcPr>
          <w:p w:rsidR="005C66B0" w:rsidRPr="00AA65D8" w:rsidRDefault="005C66B0" w:rsidP="00307940"/>
        </w:tc>
      </w:tr>
      <w:tr w:rsidR="005C66B0" w:rsidRPr="00AA65D8" w:rsidTr="005C66B0">
        <w:tc>
          <w:tcPr>
            <w:tcW w:w="1976" w:type="pct"/>
          </w:tcPr>
          <w:p w:rsidR="005C66B0" w:rsidRDefault="005C66B0" w:rsidP="00307940">
            <w:pPr>
              <w:pStyle w:val="ListParagraph"/>
              <w:ind w:hanging="720"/>
              <w:rPr>
                <w:b/>
                <w:sz w:val="18"/>
                <w:szCs w:val="20"/>
              </w:rPr>
            </w:pPr>
            <w:r>
              <w:rPr>
                <w:b/>
                <w:sz w:val="18"/>
                <w:szCs w:val="20"/>
              </w:rPr>
              <w:t>Evidence Based Healthcare</w:t>
            </w:r>
          </w:p>
        </w:tc>
        <w:tc>
          <w:tcPr>
            <w:tcW w:w="614" w:type="pct"/>
          </w:tcPr>
          <w:p w:rsidR="005C66B0" w:rsidRPr="00923DF5" w:rsidRDefault="005C66B0" w:rsidP="00307940">
            <w:pPr>
              <w:rPr>
                <w:sz w:val="16"/>
              </w:rPr>
            </w:pPr>
            <w:r>
              <w:rPr>
                <w:sz w:val="16"/>
              </w:rPr>
              <w:t>once</w:t>
            </w:r>
          </w:p>
        </w:tc>
        <w:tc>
          <w:tcPr>
            <w:tcW w:w="306" w:type="pct"/>
          </w:tcPr>
          <w:p w:rsidR="005C66B0" w:rsidRPr="00FE1A1D" w:rsidRDefault="005C66B0" w:rsidP="00307940">
            <w:r w:rsidRPr="007B2149">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104EB1">
              <w:t>√</w:t>
            </w:r>
          </w:p>
        </w:tc>
        <w:tc>
          <w:tcPr>
            <w:tcW w:w="229" w:type="pct"/>
          </w:tcPr>
          <w:p w:rsidR="005C66B0" w:rsidRPr="00AA65D8" w:rsidRDefault="005C66B0" w:rsidP="00307940">
            <w:r w:rsidRPr="00104EB1">
              <w:t>√</w:t>
            </w:r>
          </w:p>
        </w:tc>
        <w:tc>
          <w:tcPr>
            <w:tcW w:w="226" w:type="pct"/>
          </w:tcPr>
          <w:p w:rsidR="005C66B0" w:rsidRPr="00AA65D8" w:rsidRDefault="005C66B0" w:rsidP="00307940">
            <w:r w:rsidRPr="00104EB1">
              <w:t>√</w:t>
            </w:r>
          </w:p>
        </w:tc>
      </w:tr>
      <w:tr w:rsidR="005C66B0" w:rsidRPr="00AA65D8" w:rsidTr="005C66B0">
        <w:tc>
          <w:tcPr>
            <w:tcW w:w="1976" w:type="pct"/>
          </w:tcPr>
          <w:p w:rsidR="005C66B0" w:rsidRPr="00923DF5" w:rsidRDefault="005C66B0" w:rsidP="00307940">
            <w:pPr>
              <w:pStyle w:val="ListParagraph"/>
              <w:ind w:hanging="720"/>
              <w:rPr>
                <w:b/>
                <w:sz w:val="18"/>
                <w:szCs w:val="20"/>
              </w:rPr>
            </w:pPr>
            <w:r>
              <w:rPr>
                <w:b/>
                <w:sz w:val="18"/>
                <w:szCs w:val="20"/>
              </w:rPr>
              <w:t>Clinical Team Leadership</w:t>
            </w:r>
          </w:p>
        </w:tc>
        <w:tc>
          <w:tcPr>
            <w:tcW w:w="614" w:type="pct"/>
          </w:tcPr>
          <w:p w:rsidR="005C66B0" w:rsidRPr="00C05B6E" w:rsidRDefault="005C66B0" w:rsidP="00307940">
            <w:pPr>
              <w:rPr>
                <w:sz w:val="16"/>
              </w:rPr>
            </w:pPr>
            <w:r>
              <w:rPr>
                <w:sz w:val="16"/>
              </w:rPr>
              <w:t>once</w:t>
            </w:r>
          </w:p>
        </w:tc>
        <w:tc>
          <w:tcPr>
            <w:tcW w:w="306" w:type="pct"/>
          </w:tcPr>
          <w:p w:rsidR="005C66B0" w:rsidRPr="00FE1A1D" w:rsidRDefault="005C66B0" w:rsidP="00307940">
            <w:r w:rsidRPr="007B2149">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E41B5B">
              <w:t>√</w:t>
            </w:r>
          </w:p>
        </w:tc>
        <w:tc>
          <w:tcPr>
            <w:tcW w:w="229" w:type="pct"/>
          </w:tcPr>
          <w:p w:rsidR="005C66B0" w:rsidRPr="00AA65D8" w:rsidRDefault="005C66B0" w:rsidP="00307940"/>
        </w:tc>
        <w:tc>
          <w:tcPr>
            <w:tcW w:w="226" w:type="pct"/>
          </w:tcPr>
          <w:p w:rsidR="005C66B0" w:rsidRPr="00AA65D8" w:rsidRDefault="005C66B0" w:rsidP="00307940"/>
        </w:tc>
      </w:tr>
      <w:tr w:rsidR="005C66B0" w:rsidRPr="00AA65D8" w:rsidTr="005C66B0">
        <w:tc>
          <w:tcPr>
            <w:tcW w:w="1976" w:type="pct"/>
          </w:tcPr>
          <w:p w:rsidR="005C66B0" w:rsidRPr="009114D7" w:rsidRDefault="005C66B0" w:rsidP="00307940">
            <w:pPr>
              <w:rPr>
                <w:b/>
                <w:sz w:val="18"/>
                <w:szCs w:val="20"/>
              </w:rPr>
            </w:pPr>
            <w:r>
              <w:rPr>
                <w:b/>
                <w:sz w:val="18"/>
                <w:szCs w:val="20"/>
              </w:rPr>
              <w:t>Leadership</w:t>
            </w:r>
          </w:p>
        </w:tc>
        <w:tc>
          <w:tcPr>
            <w:tcW w:w="614" w:type="pct"/>
          </w:tcPr>
          <w:p w:rsidR="005C66B0" w:rsidRPr="00923DF5" w:rsidRDefault="005C66B0" w:rsidP="00307940">
            <w:pPr>
              <w:rPr>
                <w:sz w:val="16"/>
              </w:rPr>
            </w:pPr>
            <w:r>
              <w:rPr>
                <w:sz w:val="16"/>
              </w:rPr>
              <w:t>once</w:t>
            </w:r>
          </w:p>
        </w:tc>
        <w:tc>
          <w:tcPr>
            <w:tcW w:w="306" w:type="pct"/>
          </w:tcPr>
          <w:p w:rsidR="005C66B0" w:rsidRPr="00FE1A1D" w:rsidRDefault="005C66B0" w:rsidP="00307940">
            <w:r w:rsidRPr="007B2149">
              <w:t>√</w:t>
            </w:r>
          </w:p>
        </w:tc>
        <w:tc>
          <w:tcPr>
            <w:tcW w:w="1350" w:type="pct"/>
          </w:tcPr>
          <w:p w:rsidR="005C66B0" w:rsidRPr="004A2D95" w:rsidRDefault="005C66B0" w:rsidP="00307940">
            <w:pPr>
              <w:rPr>
                <w:sz w:val="18"/>
              </w:rPr>
            </w:pPr>
          </w:p>
        </w:tc>
        <w:tc>
          <w:tcPr>
            <w:tcW w:w="299" w:type="pct"/>
          </w:tcPr>
          <w:p w:rsidR="005C66B0" w:rsidRPr="00AA65D8" w:rsidRDefault="005C66B0" w:rsidP="00307940">
            <w:r w:rsidRPr="00104EB1">
              <w:t>√</w:t>
            </w:r>
          </w:p>
        </w:tc>
        <w:tc>
          <w:tcPr>
            <w:tcW w:w="229" w:type="pct"/>
          </w:tcPr>
          <w:p w:rsidR="005C66B0" w:rsidRPr="00AA65D8" w:rsidRDefault="005C66B0" w:rsidP="00307940">
            <w:r w:rsidRPr="00104EB1">
              <w:t>√</w:t>
            </w:r>
          </w:p>
        </w:tc>
        <w:tc>
          <w:tcPr>
            <w:tcW w:w="226" w:type="pct"/>
          </w:tcPr>
          <w:p w:rsidR="005C66B0" w:rsidRPr="00AA65D8" w:rsidRDefault="005C66B0" w:rsidP="00307940"/>
        </w:tc>
      </w:tr>
      <w:tr w:rsidR="005C66B0" w:rsidRPr="00AA65D8" w:rsidTr="005C66B0">
        <w:tc>
          <w:tcPr>
            <w:tcW w:w="1976" w:type="pct"/>
          </w:tcPr>
          <w:p w:rsidR="005C66B0" w:rsidRPr="009114D7" w:rsidRDefault="005C66B0" w:rsidP="00307940">
            <w:pPr>
              <w:rPr>
                <w:b/>
                <w:sz w:val="18"/>
                <w:szCs w:val="20"/>
              </w:rPr>
            </w:pPr>
            <w:r>
              <w:rPr>
                <w:b/>
                <w:sz w:val="18"/>
                <w:szCs w:val="20"/>
              </w:rPr>
              <w:t>Virtual Working</w:t>
            </w:r>
          </w:p>
        </w:tc>
        <w:tc>
          <w:tcPr>
            <w:tcW w:w="614" w:type="pct"/>
          </w:tcPr>
          <w:p w:rsidR="005C66B0" w:rsidRPr="00C05B6E" w:rsidRDefault="005C66B0" w:rsidP="00307940">
            <w:pPr>
              <w:rPr>
                <w:sz w:val="16"/>
              </w:rPr>
            </w:pPr>
            <w:r>
              <w:rPr>
                <w:sz w:val="16"/>
              </w:rPr>
              <w:t>once</w:t>
            </w:r>
          </w:p>
        </w:tc>
        <w:tc>
          <w:tcPr>
            <w:tcW w:w="306" w:type="pct"/>
          </w:tcPr>
          <w:p w:rsidR="005C66B0" w:rsidRPr="00FE1A1D" w:rsidRDefault="005C66B0" w:rsidP="00307940"/>
        </w:tc>
        <w:tc>
          <w:tcPr>
            <w:tcW w:w="1350" w:type="pct"/>
          </w:tcPr>
          <w:p w:rsidR="005C66B0" w:rsidRPr="004A2D95" w:rsidRDefault="005C66B0" w:rsidP="00307940">
            <w:pPr>
              <w:rPr>
                <w:sz w:val="18"/>
              </w:rPr>
            </w:pPr>
          </w:p>
        </w:tc>
        <w:tc>
          <w:tcPr>
            <w:tcW w:w="299" w:type="pct"/>
          </w:tcPr>
          <w:p w:rsidR="005C66B0" w:rsidRPr="00AA65D8" w:rsidRDefault="005C66B0" w:rsidP="00307940">
            <w:r w:rsidRPr="00104EB1">
              <w:t>√</w:t>
            </w:r>
          </w:p>
        </w:tc>
        <w:tc>
          <w:tcPr>
            <w:tcW w:w="229" w:type="pct"/>
          </w:tcPr>
          <w:p w:rsidR="005C66B0" w:rsidRPr="00AA65D8" w:rsidRDefault="005C66B0" w:rsidP="00307940">
            <w:r w:rsidRPr="00104EB1">
              <w:t>√</w:t>
            </w:r>
          </w:p>
        </w:tc>
        <w:tc>
          <w:tcPr>
            <w:tcW w:w="226" w:type="pct"/>
          </w:tcPr>
          <w:p w:rsidR="005C66B0" w:rsidRPr="00AA65D8" w:rsidRDefault="005C66B0" w:rsidP="00307940">
            <w:r w:rsidRPr="007B2149">
              <w:t>√</w:t>
            </w:r>
          </w:p>
        </w:tc>
      </w:tr>
      <w:tr w:rsidR="005C66B0" w:rsidRPr="00AA65D8" w:rsidTr="005C66B0">
        <w:tc>
          <w:tcPr>
            <w:tcW w:w="1976" w:type="pct"/>
          </w:tcPr>
          <w:p w:rsidR="005C66B0" w:rsidRDefault="005C66B0" w:rsidP="00307940">
            <w:pPr>
              <w:pStyle w:val="ListParagraph"/>
              <w:ind w:hanging="720"/>
              <w:rPr>
                <w:b/>
                <w:sz w:val="18"/>
                <w:szCs w:val="20"/>
              </w:rPr>
            </w:pPr>
            <w:r>
              <w:rPr>
                <w:b/>
                <w:sz w:val="18"/>
                <w:szCs w:val="20"/>
              </w:rPr>
              <w:t>Customer Service Essentials</w:t>
            </w:r>
          </w:p>
        </w:tc>
        <w:tc>
          <w:tcPr>
            <w:tcW w:w="614" w:type="pct"/>
          </w:tcPr>
          <w:p w:rsidR="005C66B0" w:rsidRPr="00923DF5" w:rsidRDefault="005C66B0" w:rsidP="00307940">
            <w:pPr>
              <w:rPr>
                <w:sz w:val="16"/>
              </w:rPr>
            </w:pPr>
            <w:r>
              <w:rPr>
                <w:sz w:val="16"/>
              </w:rPr>
              <w:t>once</w:t>
            </w:r>
          </w:p>
        </w:tc>
        <w:tc>
          <w:tcPr>
            <w:tcW w:w="306" w:type="pct"/>
          </w:tcPr>
          <w:p w:rsidR="005C66B0" w:rsidRPr="00FE1A1D" w:rsidRDefault="005C66B0" w:rsidP="00307940">
            <w:r w:rsidRPr="007B2149">
              <w:t>√</w:t>
            </w:r>
          </w:p>
        </w:tc>
        <w:tc>
          <w:tcPr>
            <w:tcW w:w="1350" w:type="pct"/>
          </w:tcPr>
          <w:p w:rsidR="005C66B0" w:rsidRPr="004A2D95" w:rsidRDefault="005C66B0" w:rsidP="00307940">
            <w:pPr>
              <w:rPr>
                <w:sz w:val="18"/>
              </w:rPr>
            </w:pPr>
          </w:p>
        </w:tc>
        <w:tc>
          <w:tcPr>
            <w:tcW w:w="299" w:type="pct"/>
          </w:tcPr>
          <w:p w:rsidR="005C66B0" w:rsidRPr="00AA65D8" w:rsidRDefault="005C66B0" w:rsidP="00307940"/>
        </w:tc>
        <w:tc>
          <w:tcPr>
            <w:tcW w:w="229" w:type="pct"/>
          </w:tcPr>
          <w:p w:rsidR="005C66B0" w:rsidRPr="00AA65D8" w:rsidRDefault="005C66B0" w:rsidP="00307940">
            <w:r w:rsidRPr="00E41B5B">
              <w:t>√</w:t>
            </w:r>
          </w:p>
        </w:tc>
        <w:tc>
          <w:tcPr>
            <w:tcW w:w="226" w:type="pct"/>
          </w:tcPr>
          <w:p w:rsidR="005C66B0" w:rsidRPr="00AA65D8" w:rsidRDefault="005C66B0" w:rsidP="00307940">
            <w:r w:rsidRPr="00E41B5B">
              <w:t>√</w:t>
            </w:r>
          </w:p>
        </w:tc>
      </w:tr>
      <w:tr w:rsidR="005C66B0" w:rsidRPr="00AA65D8" w:rsidTr="005C66B0">
        <w:tc>
          <w:tcPr>
            <w:tcW w:w="5000" w:type="pct"/>
            <w:gridSpan w:val="7"/>
            <w:tcBorders>
              <w:left w:val="nil"/>
              <w:bottom w:val="nil"/>
              <w:right w:val="nil"/>
            </w:tcBorders>
          </w:tcPr>
          <w:p w:rsidR="005C66B0" w:rsidRDefault="005C66B0" w:rsidP="00307940">
            <w:pPr>
              <w:ind w:right="113"/>
              <w:jc w:val="right"/>
            </w:pPr>
            <w:r>
              <w:t>Table 1</w:t>
            </w:r>
          </w:p>
        </w:tc>
      </w:tr>
    </w:tbl>
    <w:p w:rsidR="005C66B0" w:rsidRDefault="005C66B0">
      <w:r>
        <w:br w:type="page"/>
      </w:r>
    </w:p>
    <w:p w:rsidR="00BF1ECF" w:rsidRDefault="005D14A7" w:rsidP="005D14A7">
      <w:pPr>
        <w:jc w:val="center"/>
        <w:rPr>
          <w:b/>
          <w:sz w:val="28"/>
        </w:rPr>
      </w:pPr>
      <w:r>
        <w:rPr>
          <w:b/>
          <w:sz w:val="28"/>
        </w:rPr>
        <w:lastRenderedPageBreak/>
        <w:t>Resources</w:t>
      </w:r>
    </w:p>
    <w:p w:rsidR="007B76CD" w:rsidRPr="007B76CD" w:rsidRDefault="007B76CD" w:rsidP="007B76CD">
      <w:r w:rsidRPr="007B76CD">
        <w:t xml:space="preserve">Advanced Clinical Toolkit </w:t>
      </w:r>
      <w:hyperlink r:id="rId38" w:history="1">
        <w:r w:rsidRPr="007B76CD">
          <w:rPr>
            <w:rStyle w:val="Hyperlink"/>
            <w:color w:val="auto"/>
          </w:rPr>
          <w:t>https://www.hee.nhs.uk/our-work/advanced-clinical-practice</w:t>
        </w:r>
      </w:hyperlink>
    </w:p>
    <w:p w:rsidR="007B76CD" w:rsidRPr="007B76CD" w:rsidRDefault="007B76CD" w:rsidP="007B76CD">
      <w:r w:rsidRPr="007B76CD">
        <w:t xml:space="preserve">District Nursing and General Practice Nursing Service Education and Career Framework </w:t>
      </w:r>
      <w:hyperlink r:id="rId39" w:history="1">
        <w:r w:rsidRPr="007B76CD">
          <w:rPr>
            <w:rStyle w:val="Hyperlink"/>
            <w:color w:val="auto"/>
          </w:rPr>
          <w:t>https://www.hee.nhs.uk/sites/default/files/documents/Interactive%20version%20of%20the%20framework_1.pdf</w:t>
        </w:r>
      </w:hyperlink>
    </w:p>
    <w:p w:rsidR="005D14A7" w:rsidRPr="007B76CD" w:rsidRDefault="000B56D0" w:rsidP="005D14A7">
      <w:r w:rsidRPr="007B76CD">
        <w:t xml:space="preserve">The GPN 10 point plan </w:t>
      </w:r>
      <w:hyperlink r:id="rId40" w:history="1">
        <w:r w:rsidR="005D14A7" w:rsidRPr="007B76CD">
          <w:rPr>
            <w:rStyle w:val="Hyperlink"/>
            <w:color w:val="auto"/>
          </w:rPr>
          <w:t>https://www.england.nhs.uk/wp-content/uploads/2018/01/general-practice-nursing-ten-point-plan-v17.pdf</w:t>
        </w:r>
      </w:hyperlink>
    </w:p>
    <w:p w:rsidR="000B56D0" w:rsidRPr="007B76CD" w:rsidRDefault="000B56D0" w:rsidP="000B56D0">
      <w:r w:rsidRPr="007B76CD">
        <w:t xml:space="preserve">HEE Preceptorship Standards 2015 </w:t>
      </w:r>
      <w:hyperlink r:id="rId41" w:history="1">
        <w:r w:rsidRPr="007B76CD">
          <w:rPr>
            <w:rStyle w:val="Hyperlink"/>
            <w:color w:val="auto"/>
          </w:rPr>
          <w:t>https://www.fhft.nhs.uk/media/2601/hee-branded-preceptorship-standards-2015.pdf</w:t>
        </w:r>
      </w:hyperlink>
    </w:p>
    <w:p w:rsidR="000B56D0" w:rsidRPr="009D72E4" w:rsidRDefault="000B56D0" w:rsidP="000B56D0">
      <w:r w:rsidRPr="007B76CD">
        <w:t xml:space="preserve">HEE Framework for Preceptorship 2017 </w:t>
      </w:r>
      <w:hyperlink r:id="rId42" w:history="1">
        <w:r w:rsidRPr="007B76CD">
          <w:rPr>
            <w:rStyle w:val="Hyperlink"/>
            <w:color w:val="auto"/>
          </w:rPr>
          <w:t>https://www.hee.nhs.uk/sites/default/files/documents/CapitalNurse%20Preceptorship%20Framework.pdf</w:t>
        </w:r>
      </w:hyperlink>
    </w:p>
    <w:p w:rsidR="00102D8F" w:rsidRPr="009D72E4" w:rsidRDefault="00102D8F" w:rsidP="000B56D0">
      <w:pPr>
        <w:rPr>
          <w:szCs w:val="24"/>
        </w:rPr>
      </w:pPr>
      <w:r w:rsidRPr="009D72E4">
        <w:t xml:space="preserve">NHS Long Term Plan </w:t>
      </w:r>
      <w:r w:rsidRPr="009D72E4">
        <w:rPr>
          <w:szCs w:val="24"/>
        </w:rPr>
        <w:t>(Section 4.27, page 83).</w:t>
      </w:r>
      <w:r w:rsidR="009D72E4" w:rsidRPr="009D72E4">
        <w:rPr>
          <w:szCs w:val="24"/>
        </w:rPr>
        <w:t xml:space="preserve"> </w:t>
      </w:r>
      <w:hyperlink r:id="rId43" w:history="1">
        <w:r w:rsidR="009D72E4" w:rsidRPr="009D72E4">
          <w:rPr>
            <w:rStyle w:val="Hyperlink"/>
            <w:color w:val="auto"/>
            <w:szCs w:val="24"/>
          </w:rPr>
          <w:t>https://www.longtermplan.nhs.uk/wp-content/uploads/2019/08/nhs-long-term-plan-version-1.2.pdf</w:t>
        </w:r>
      </w:hyperlink>
    </w:p>
    <w:p w:rsidR="007B76CD" w:rsidRPr="007B76CD" w:rsidRDefault="007B76CD" w:rsidP="000B56D0">
      <w:r w:rsidRPr="007B76CD">
        <w:t xml:space="preserve">NMC Standards for Student Nurse Supervision </w:t>
      </w:r>
      <w:hyperlink r:id="rId44" w:history="1">
        <w:r w:rsidRPr="007B76CD">
          <w:rPr>
            <w:rStyle w:val="Hyperlink"/>
            <w:color w:val="auto"/>
          </w:rPr>
          <w:t>https://www.nmc.org.uk/standards-for-education-and-training/standards-for-student-supervision-and-assessment/</w:t>
        </w:r>
      </w:hyperlink>
    </w:p>
    <w:p w:rsidR="007B76CD" w:rsidRDefault="007B76CD" w:rsidP="000B56D0"/>
    <w:p w:rsidR="000B56D0" w:rsidRDefault="000B56D0" w:rsidP="000B56D0"/>
    <w:p w:rsidR="000B56D0" w:rsidRDefault="000B56D0" w:rsidP="000B56D0">
      <w:r>
        <w:t xml:space="preserve"> </w:t>
      </w:r>
    </w:p>
    <w:p w:rsidR="005D14A7" w:rsidRPr="005D14A7" w:rsidRDefault="005D14A7" w:rsidP="005D14A7"/>
    <w:sectPr w:rsidR="005D14A7" w:rsidRPr="005D14A7" w:rsidSect="00EB23E0">
      <w:footerReference w:type="default" r:id="rId4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33" w:rsidRDefault="00B33E33" w:rsidP="00D85F6D">
      <w:pPr>
        <w:spacing w:after="0" w:line="240" w:lineRule="auto"/>
      </w:pPr>
      <w:r>
        <w:separator/>
      </w:r>
    </w:p>
  </w:endnote>
  <w:endnote w:type="continuationSeparator" w:id="0">
    <w:p w:rsidR="00B33E33" w:rsidRDefault="00B33E33" w:rsidP="00D8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6D" w:rsidRDefault="00D85F6D">
    <w:pPr>
      <w:pStyle w:val="Footer"/>
      <w:pBdr>
        <w:top w:val="thinThickSmallGap" w:sz="24" w:space="1" w:color="622423" w:themeColor="accent2" w:themeShade="7F"/>
      </w:pBdr>
      <w:rPr>
        <w:rFonts w:asciiTheme="majorHAnsi" w:eastAsiaTheme="majorEastAsia" w:hAnsiTheme="majorHAnsi" w:cstheme="majorBidi"/>
      </w:rPr>
    </w:pPr>
    <w:r w:rsidRPr="00D85F6D">
      <w:rPr>
        <w:rFonts w:asciiTheme="majorHAnsi" w:eastAsiaTheme="majorEastAsia" w:hAnsiTheme="majorHAnsi" w:cstheme="majorBidi"/>
      </w:rPr>
      <w:t>General Practice Nurse Education and Training Support Pack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53C5B" w:rsidRPr="00153C5B">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D85F6D" w:rsidRDefault="00D85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33" w:rsidRDefault="00B33E33" w:rsidP="00D85F6D">
      <w:pPr>
        <w:spacing w:after="0" w:line="240" w:lineRule="auto"/>
      </w:pPr>
      <w:r>
        <w:separator/>
      </w:r>
    </w:p>
  </w:footnote>
  <w:footnote w:type="continuationSeparator" w:id="0">
    <w:p w:rsidR="00B33E33" w:rsidRDefault="00B33E33" w:rsidP="00D85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A6E"/>
    <w:multiLevelType w:val="hybridMultilevel"/>
    <w:tmpl w:val="CD48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1343A"/>
    <w:multiLevelType w:val="hybridMultilevel"/>
    <w:tmpl w:val="9B348DEE"/>
    <w:lvl w:ilvl="0" w:tplc="EC3682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A729BB"/>
    <w:multiLevelType w:val="hybridMultilevel"/>
    <w:tmpl w:val="2BBC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3E666E"/>
    <w:multiLevelType w:val="hybridMultilevel"/>
    <w:tmpl w:val="CB6A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6D"/>
    <w:rsid w:val="00057684"/>
    <w:rsid w:val="00077EB5"/>
    <w:rsid w:val="000B56D0"/>
    <w:rsid w:val="000E2E21"/>
    <w:rsid w:val="00102D8F"/>
    <w:rsid w:val="00131598"/>
    <w:rsid w:val="0013653B"/>
    <w:rsid w:val="00153C5B"/>
    <w:rsid w:val="001709DB"/>
    <w:rsid w:val="001839F3"/>
    <w:rsid w:val="001A1AD1"/>
    <w:rsid w:val="00223F7F"/>
    <w:rsid w:val="00233F56"/>
    <w:rsid w:val="0027565C"/>
    <w:rsid w:val="003003A4"/>
    <w:rsid w:val="00332159"/>
    <w:rsid w:val="003D749A"/>
    <w:rsid w:val="004635A0"/>
    <w:rsid w:val="004D6A83"/>
    <w:rsid w:val="0053095A"/>
    <w:rsid w:val="005C66B0"/>
    <w:rsid w:val="005D14A7"/>
    <w:rsid w:val="00686568"/>
    <w:rsid w:val="006F7C44"/>
    <w:rsid w:val="00757E04"/>
    <w:rsid w:val="007B76CD"/>
    <w:rsid w:val="008A7657"/>
    <w:rsid w:val="00940AB2"/>
    <w:rsid w:val="00960212"/>
    <w:rsid w:val="009710E1"/>
    <w:rsid w:val="0099790C"/>
    <w:rsid w:val="009D72E4"/>
    <w:rsid w:val="00B11DB8"/>
    <w:rsid w:val="00B33E33"/>
    <w:rsid w:val="00BF1ECF"/>
    <w:rsid w:val="00C556FE"/>
    <w:rsid w:val="00CF3510"/>
    <w:rsid w:val="00D037A3"/>
    <w:rsid w:val="00D1691B"/>
    <w:rsid w:val="00D17C46"/>
    <w:rsid w:val="00D85F6D"/>
    <w:rsid w:val="00E1138E"/>
    <w:rsid w:val="00E504BA"/>
    <w:rsid w:val="00EB23E0"/>
    <w:rsid w:val="00F07606"/>
    <w:rsid w:val="00F10BBF"/>
    <w:rsid w:val="00F949EE"/>
    <w:rsid w:val="00FC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6D"/>
    <w:pPr>
      <w:ind w:left="720"/>
      <w:contextualSpacing/>
    </w:pPr>
  </w:style>
  <w:style w:type="character" w:styleId="Hyperlink">
    <w:name w:val="Hyperlink"/>
    <w:basedOn w:val="DefaultParagraphFont"/>
    <w:uiPriority w:val="99"/>
    <w:unhideWhenUsed/>
    <w:rsid w:val="00D85F6D"/>
    <w:rPr>
      <w:color w:val="0000FF" w:themeColor="hyperlink"/>
      <w:u w:val="single"/>
    </w:rPr>
  </w:style>
  <w:style w:type="character" w:styleId="FollowedHyperlink">
    <w:name w:val="FollowedHyperlink"/>
    <w:basedOn w:val="DefaultParagraphFont"/>
    <w:uiPriority w:val="99"/>
    <w:semiHidden/>
    <w:unhideWhenUsed/>
    <w:rsid w:val="00D85F6D"/>
    <w:rPr>
      <w:color w:val="800080" w:themeColor="followedHyperlink"/>
      <w:u w:val="single"/>
    </w:rPr>
  </w:style>
  <w:style w:type="paragraph" w:styleId="BalloonText">
    <w:name w:val="Balloon Text"/>
    <w:basedOn w:val="Normal"/>
    <w:link w:val="BalloonTextChar"/>
    <w:uiPriority w:val="99"/>
    <w:semiHidden/>
    <w:unhideWhenUsed/>
    <w:rsid w:val="00D8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6D"/>
    <w:rPr>
      <w:rFonts w:ascii="Tahoma" w:hAnsi="Tahoma" w:cs="Tahoma"/>
      <w:sz w:val="16"/>
      <w:szCs w:val="16"/>
    </w:rPr>
  </w:style>
  <w:style w:type="paragraph" w:styleId="Header">
    <w:name w:val="header"/>
    <w:basedOn w:val="Normal"/>
    <w:link w:val="HeaderChar"/>
    <w:uiPriority w:val="99"/>
    <w:unhideWhenUsed/>
    <w:rsid w:val="00D85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6D"/>
  </w:style>
  <w:style w:type="paragraph" w:styleId="Footer">
    <w:name w:val="footer"/>
    <w:basedOn w:val="Normal"/>
    <w:link w:val="FooterChar"/>
    <w:uiPriority w:val="99"/>
    <w:unhideWhenUsed/>
    <w:rsid w:val="00D85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F6D"/>
  </w:style>
  <w:style w:type="paragraph" w:styleId="NoSpacing">
    <w:name w:val="No Spacing"/>
    <w:link w:val="NoSpacingChar"/>
    <w:uiPriority w:val="1"/>
    <w:qFormat/>
    <w:rsid w:val="00EB23E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23E0"/>
    <w:rPr>
      <w:rFonts w:eastAsiaTheme="minorEastAsia"/>
      <w:lang w:val="en-US" w:eastAsia="ja-JP"/>
    </w:rPr>
  </w:style>
  <w:style w:type="character" w:styleId="CommentReference">
    <w:name w:val="annotation reference"/>
    <w:basedOn w:val="DefaultParagraphFont"/>
    <w:uiPriority w:val="99"/>
    <w:semiHidden/>
    <w:unhideWhenUsed/>
    <w:rsid w:val="001709DB"/>
    <w:rPr>
      <w:sz w:val="16"/>
      <w:szCs w:val="16"/>
    </w:rPr>
  </w:style>
  <w:style w:type="paragraph" w:styleId="CommentText">
    <w:name w:val="annotation text"/>
    <w:basedOn w:val="Normal"/>
    <w:link w:val="CommentTextChar"/>
    <w:uiPriority w:val="99"/>
    <w:semiHidden/>
    <w:unhideWhenUsed/>
    <w:rsid w:val="001709DB"/>
    <w:pPr>
      <w:spacing w:line="240" w:lineRule="auto"/>
    </w:pPr>
    <w:rPr>
      <w:sz w:val="20"/>
      <w:szCs w:val="20"/>
    </w:rPr>
  </w:style>
  <w:style w:type="character" w:customStyle="1" w:styleId="CommentTextChar">
    <w:name w:val="Comment Text Char"/>
    <w:basedOn w:val="DefaultParagraphFont"/>
    <w:link w:val="CommentText"/>
    <w:uiPriority w:val="99"/>
    <w:semiHidden/>
    <w:rsid w:val="001709DB"/>
    <w:rPr>
      <w:sz w:val="20"/>
      <w:szCs w:val="20"/>
    </w:rPr>
  </w:style>
  <w:style w:type="paragraph" w:styleId="CommentSubject">
    <w:name w:val="annotation subject"/>
    <w:basedOn w:val="CommentText"/>
    <w:next w:val="CommentText"/>
    <w:link w:val="CommentSubjectChar"/>
    <w:uiPriority w:val="99"/>
    <w:semiHidden/>
    <w:unhideWhenUsed/>
    <w:rsid w:val="001709DB"/>
    <w:rPr>
      <w:b/>
      <w:bCs/>
    </w:rPr>
  </w:style>
  <w:style w:type="character" w:customStyle="1" w:styleId="CommentSubjectChar">
    <w:name w:val="Comment Subject Char"/>
    <w:basedOn w:val="CommentTextChar"/>
    <w:link w:val="CommentSubject"/>
    <w:uiPriority w:val="99"/>
    <w:semiHidden/>
    <w:rsid w:val="001709DB"/>
    <w:rPr>
      <w:b/>
      <w:bCs/>
      <w:sz w:val="20"/>
      <w:szCs w:val="20"/>
    </w:rPr>
  </w:style>
  <w:style w:type="paragraph" w:customStyle="1" w:styleId="Default">
    <w:name w:val="Default"/>
    <w:rsid w:val="001709D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C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6D"/>
    <w:pPr>
      <w:ind w:left="720"/>
      <w:contextualSpacing/>
    </w:pPr>
  </w:style>
  <w:style w:type="character" w:styleId="Hyperlink">
    <w:name w:val="Hyperlink"/>
    <w:basedOn w:val="DefaultParagraphFont"/>
    <w:uiPriority w:val="99"/>
    <w:unhideWhenUsed/>
    <w:rsid w:val="00D85F6D"/>
    <w:rPr>
      <w:color w:val="0000FF" w:themeColor="hyperlink"/>
      <w:u w:val="single"/>
    </w:rPr>
  </w:style>
  <w:style w:type="character" w:styleId="FollowedHyperlink">
    <w:name w:val="FollowedHyperlink"/>
    <w:basedOn w:val="DefaultParagraphFont"/>
    <w:uiPriority w:val="99"/>
    <w:semiHidden/>
    <w:unhideWhenUsed/>
    <w:rsid w:val="00D85F6D"/>
    <w:rPr>
      <w:color w:val="800080" w:themeColor="followedHyperlink"/>
      <w:u w:val="single"/>
    </w:rPr>
  </w:style>
  <w:style w:type="paragraph" w:styleId="BalloonText">
    <w:name w:val="Balloon Text"/>
    <w:basedOn w:val="Normal"/>
    <w:link w:val="BalloonTextChar"/>
    <w:uiPriority w:val="99"/>
    <w:semiHidden/>
    <w:unhideWhenUsed/>
    <w:rsid w:val="00D8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6D"/>
    <w:rPr>
      <w:rFonts w:ascii="Tahoma" w:hAnsi="Tahoma" w:cs="Tahoma"/>
      <w:sz w:val="16"/>
      <w:szCs w:val="16"/>
    </w:rPr>
  </w:style>
  <w:style w:type="paragraph" w:styleId="Header">
    <w:name w:val="header"/>
    <w:basedOn w:val="Normal"/>
    <w:link w:val="HeaderChar"/>
    <w:uiPriority w:val="99"/>
    <w:unhideWhenUsed/>
    <w:rsid w:val="00D85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6D"/>
  </w:style>
  <w:style w:type="paragraph" w:styleId="Footer">
    <w:name w:val="footer"/>
    <w:basedOn w:val="Normal"/>
    <w:link w:val="FooterChar"/>
    <w:uiPriority w:val="99"/>
    <w:unhideWhenUsed/>
    <w:rsid w:val="00D85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F6D"/>
  </w:style>
  <w:style w:type="paragraph" w:styleId="NoSpacing">
    <w:name w:val="No Spacing"/>
    <w:link w:val="NoSpacingChar"/>
    <w:uiPriority w:val="1"/>
    <w:qFormat/>
    <w:rsid w:val="00EB23E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23E0"/>
    <w:rPr>
      <w:rFonts w:eastAsiaTheme="minorEastAsia"/>
      <w:lang w:val="en-US" w:eastAsia="ja-JP"/>
    </w:rPr>
  </w:style>
  <w:style w:type="character" w:styleId="CommentReference">
    <w:name w:val="annotation reference"/>
    <w:basedOn w:val="DefaultParagraphFont"/>
    <w:uiPriority w:val="99"/>
    <w:semiHidden/>
    <w:unhideWhenUsed/>
    <w:rsid w:val="001709DB"/>
    <w:rPr>
      <w:sz w:val="16"/>
      <w:szCs w:val="16"/>
    </w:rPr>
  </w:style>
  <w:style w:type="paragraph" w:styleId="CommentText">
    <w:name w:val="annotation text"/>
    <w:basedOn w:val="Normal"/>
    <w:link w:val="CommentTextChar"/>
    <w:uiPriority w:val="99"/>
    <w:semiHidden/>
    <w:unhideWhenUsed/>
    <w:rsid w:val="001709DB"/>
    <w:pPr>
      <w:spacing w:line="240" w:lineRule="auto"/>
    </w:pPr>
    <w:rPr>
      <w:sz w:val="20"/>
      <w:szCs w:val="20"/>
    </w:rPr>
  </w:style>
  <w:style w:type="character" w:customStyle="1" w:styleId="CommentTextChar">
    <w:name w:val="Comment Text Char"/>
    <w:basedOn w:val="DefaultParagraphFont"/>
    <w:link w:val="CommentText"/>
    <w:uiPriority w:val="99"/>
    <w:semiHidden/>
    <w:rsid w:val="001709DB"/>
    <w:rPr>
      <w:sz w:val="20"/>
      <w:szCs w:val="20"/>
    </w:rPr>
  </w:style>
  <w:style w:type="paragraph" w:styleId="CommentSubject">
    <w:name w:val="annotation subject"/>
    <w:basedOn w:val="CommentText"/>
    <w:next w:val="CommentText"/>
    <w:link w:val="CommentSubjectChar"/>
    <w:uiPriority w:val="99"/>
    <w:semiHidden/>
    <w:unhideWhenUsed/>
    <w:rsid w:val="001709DB"/>
    <w:rPr>
      <w:b/>
      <w:bCs/>
    </w:rPr>
  </w:style>
  <w:style w:type="character" w:customStyle="1" w:styleId="CommentSubjectChar">
    <w:name w:val="Comment Subject Char"/>
    <w:basedOn w:val="CommentTextChar"/>
    <w:link w:val="CommentSubject"/>
    <w:uiPriority w:val="99"/>
    <w:semiHidden/>
    <w:rsid w:val="001709DB"/>
    <w:rPr>
      <w:b/>
      <w:bCs/>
      <w:sz w:val="20"/>
      <w:szCs w:val="20"/>
    </w:rPr>
  </w:style>
  <w:style w:type="paragraph" w:customStyle="1" w:styleId="Default">
    <w:name w:val="Default"/>
    <w:rsid w:val="001709D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C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uc-uk1-fs-03.xnhsuk1.nhs.uk\Home\Priorslegh\Heather.Glover\Documents\Cheshire%20Training%20Hub\Induction%20&amp;%20Training%20Guidance\General%20Practice%20Nursing%20Induction%20Template%20FINAL%20(2).pdf" TargetMode="External"/><Relationship Id="rId18" Type="http://schemas.openxmlformats.org/officeDocument/2006/relationships/package" Target="embeddings/Microsoft_Word_Document1.docx"/><Relationship Id="rId26" Type="http://schemas.openxmlformats.org/officeDocument/2006/relationships/diagramQuickStyle" Target="diagrams/quickStyle1.xml"/><Relationship Id="rId39" Type="http://schemas.openxmlformats.org/officeDocument/2006/relationships/hyperlink" Target="https://www.hee.nhs.uk/sites/default/files/documents/Interactive%20version%20of%20the%20framework_1.pdf"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s://www.bluestreamacademy.com/" TargetMode="External"/><Relationship Id="rId42" Type="http://schemas.openxmlformats.org/officeDocument/2006/relationships/hyperlink" Target="https://www.hee.nhs.uk/sites/default/files/documents/CapitalNurse%20Preceptorship%20Framework.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e.nhs.uk/sites/default/files/documents/Interactive%20version%20of%20the%20framework_1.pdf" TargetMode="External"/><Relationship Id="rId17" Type="http://schemas.openxmlformats.org/officeDocument/2006/relationships/image" Target="media/image1.emf"/><Relationship Id="rId25" Type="http://schemas.openxmlformats.org/officeDocument/2006/relationships/diagramLayout" Target="diagrams/layout1.xml"/><Relationship Id="rId33" Type="http://schemas.openxmlformats.org/officeDocument/2006/relationships/hyperlink" Target="https://www.e-lfh.org.uk/programmes/" TargetMode="External"/><Relationship Id="rId38" Type="http://schemas.openxmlformats.org/officeDocument/2006/relationships/hyperlink" Target="https://www.hee.nhs.uk/our-work/advanced-clinical-practi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mc.org.uk/standards-for-education-and-training/standards-for-student-supervision-and-assessment/" TargetMode="External"/><Relationship Id="rId20" Type="http://schemas.openxmlformats.org/officeDocument/2006/relationships/package" Target="embeddings/Microsoft_Word_Document2.docx"/><Relationship Id="rId29" Type="http://schemas.openxmlformats.org/officeDocument/2006/relationships/image" Target="media/image5.png"/><Relationship Id="rId41" Type="http://schemas.openxmlformats.org/officeDocument/2006/relationships/hyperlink" Target="https://www.fhft.nhs.uk/media/2601/hee-branded-preceptorship-standards-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nen.org.uk/" TargetMode="External"/><Relationship Id="rId24" Type="http://schemas.openxmlformats.org/officeDocument/2006/relationships/diagramData" Target="diagrams/data1.xml"/><Relationship Id="rId32" Type="http://schemas.openxmlformats.org/officeDocument/2006/relationships/hyperlink" Target="https://www.relias.co.uk/" TargetMode="External"/><Relationship Id="rId37" Type="http://schemas.openxmlformats.org/officeDocument/2006/relationships/hyperlink" Target="https://www.rcn.org.uk/clinical-topics/public-health/immunisation" TargetMode="External"/><Relationship Id="rId40" Type="http://schemas.openxmlformats.org/officeDocument/2006/relationships/hyperlink" Target="https://www.england.nhs.uk/wp-content/uploads/2018/01/general-practice-nursing-ten-point-plan-v17.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mthub.co.uk/wp-content/uploads/2020/12/GPN-Resource-Pack-V3.5-FINAL-2.pdf" TargetMode="External"/><Relationship Id="rId23" Type="http://schemas.openxmlformats.org/officeDocument/2006/relationships/image" Target="media/image4.png"/><Relationship Id="rId28" Type="http://schemas.microsoft.com/office/2007/relationships/diagramDrawing" Target="diagrams/drawing1.xml"/><Relationship Id="rId36" Type="http://schemas.openxmlformats.org/officeDocument/2006/relationships/hyperlink" Target="https://www.gov.uk/government/collections/immunisation-against-infectious-disease-the-green-book" TargetMode="External"/><Relationship Id="rId10" Type="http://schemas.openxmlformats.org/officeDocument/2006/relationships/hyperlink" Target="https://www.cmthub.co.uk/cheshire-merseyside/" TargetMode="External"/><Relationship Id="rId19" Type="http://schemas.openxmlformats.org/officeDocument/2006/relationships/image" Target="media/image2.emf"/><Relationship Id="rId31" Type="http://schemas.openxmlformats.org/officeDocument/2006/relationships/hyperlink" Target="https://www.cmthub.co.uk/cheshire-merseyside/" TargetMode="External"/><Relationship Id="rId44" Type="http://schemas.openxmlformats.org/officeDocument/2006/relationships/hyperlink" Target="https://www.nmc.org.uk/standards-for-education-and-training/standards-for-student-supervision-and-assessment/" TargetMode="External"/><Relationship Id="rId4" Type="http://schemas.microsoft.com/office/2007/relationships/stylesWithEffects" Target="stylesWithEffects.xml"/><Relationship Id="rId9" Type="http://schemas.openxmlformats.org/officeDocument/2006/relationships/hyperlink" Target="https://www.cmthub.co.uk/" TargetMode="External"/><Relationship Id="rId14" Type="http://schemas.openxmlformats.org/officeDocument/2006/relationships/hyperlink" Target="https://www.rcgp.org.uk/-/media/Files/Policy/A-Z-policy/2015/RCGP-General-Practice-Nurse-competencies-2015.ashx?la=en" TargetMode="External"/><Relationship Id="rId22" Type="http://schemas.openxmlformats.org/officeDocument/2006/relationships/package" Target="embeddings/Microsoft_Word_Document3.docx"/><Relationship Id="rId27" Type="http://schemas.openxmlformats.org/officeDocument/2006/relationships/diagramColors" Target="diagrams/colors1.xml"/><Relationship Id="rId30" Type="http://schemas.openxmlformats.org/officeDocument/2006/relationships/hyperlink" Target="http://www.cheshireandmerseysideprimarycareacademy.co.uk/index.php/education-training/learning-repository" TargetMode="External"/><Relationship Id="rId35" Type="http://schemas.openxmlformats.org/officeDocument/2006/relationships/hyperlink" Target="http://www.skillsplatform.org/" TargetMode="External"/><Relationship Id="rId43" Type="http://schemas.openxmlformats.org/officeDocument/2006/relationships/hyperlink" Target="https://www.longtermplan.nhs.uk/wp-content/uploads/2019/08/nhs-long-term-plan-version-1.2.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ECB152-05E5-42A8-9AD2-8F4FEB29129E}"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9D129FD1-D4D7-42C3-8D89-568DCAC64297}">
      <dgm:prSet phldrT="[Text]" custT="1"/>
      <dgm:spPr>
        <a:xfrm>
          <a:off x="1573203" y="2138154"/>
          <a:ext cx="2698328" cy="2698328"/>
        </a:xfrm>
        <a:prstGeom prst="ellipse">
          <a:avLst/>
        </a:prstGeom>
        <a:solidFill>
          <a:srgbClr val="4BACC6">
            <a:lumMod val="40000"/>
            <a:lumOff val="60000"/>
            <a:alpha val="50000"/>
          </a:srgbClr>
        </a:solidFill>
        <a:ln w="25400" cap="flat" cmpd="sng" algn="ctr">
          <a:solidFill>
            <a:sysClr val="window" lastClr="FFFFFF">
              <a:hueOff val="0"/>
              <a:satOff val="0"/>
              <a:lumOff val="0"/>
              <a:alphaOff val="0"/>
            </a:sysClr>
          </a:solidFill>
          <a:prstDash val="solid"/>
        </a:ln>
        <a:effectLst/>
      </dgm:spPr>
      <dgm:t>
        <a:bodyPr/>
        <a:lstStyle/>
        <a:p>
          <a:r>
            <a:rPr lang="en-GB" sz="4000" dirty="0" smtClean="0">
              <a:solidFill>
                <a:sysClr val="windowText" lastClr="000000"/>
              </a:solidFill>
              <a:latin typeface="Calibri"/>
              <a:ea typeface="+mn-ea"/>
              <a:cs typeface="+mn-cs"/>
            </a:rPr>
            <a:t>Practice Nurse </a:t>
          </a:r>
          <a:endParaRPr lang="en-GB" sz="4000" dirty="0">
            <a:solidFill>
              <a:sysClr val="windowText" lastClr="000000"/>
            </a:solidFill>
            <a:latin typeface="Calibri"/>
            <a:ea typeface="+mn-ea"/>
            <a:cs typeface="+mn-cs"/>
          </a:endParaRPr>
        </a:p>
      </dgm:t>
    </dgm:pt>
    <dgm:pt modelId="{6A11CE31-EF27-474B-808A-99D767E168E8}" type="parTrans" cxnId="{FAF6306E-25ED-4A73-BEC0-059F2045EEFA}">
      <dgm:prSet/>
      <dgm:spPr/>
      <dgm:t>
        <a:bodyPr/>
        <a:lstStyle/>
        <a:p>
          <a:endParaRPr lang="en-GB"/>
        </a:p>
      </dgm:t>
    </dgm:pt>
    <dgm:pt modelId="{16807C09-4E4E-4514-B3B2-B3A73677B51D}" type="sibTrans" cxnId="{FAF6306E-25ED-4A73-BEC0-059F2045EEFA}">
      <dgm:prSet/>
      <dgm:spPr/>
      <dgm:t>
        <a:bodyPr/>
        <a:lstStyle/>
        <a:p>
          <a:endParaRPr lang="en-GB"/>
        </a:p>
      </dgm:t>
    </dgm:pt>
    <dgm:pt modelId="{57D00A03-FB2F-49CB-A643-7B97492E2025}">
      <dgm:prSet phldrT="[Text]" custT="1"/>
      <dgm:spPr>
        <a:xfrm>
          <a:off x="2252331" y="583394"/>
          <a:ext cx="1340070" cy="1296573"/>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400" dirty="0" smtClean="0">
              <a:solidFill>
                <a:sysClr val="windowText" lastClr="000000"/>
              </a:solidFill>
              <a:latin typeface="Calibri"/>
              <a:ea typeface="+mn-ea"/>
              <a:cs typeface="+mn-cs"/>
            </a:rPr>
            <a:t>Clinical Pharmacist</a:t>
          </a:r>
          <a:endParaRPr lang="en-GB" sz="1400" dirty="0">
            <a:solidFill>
              <a:sysClr val="windowText" lastClr="000000"/>
            </a:solidFill>
            <a:latin typeface="Calibri"/>
            <a:ea typeface="+mn-ea"/>
            <a:cs typeface="+mn-cs"/>
          </a:endParaRPr>
        </a:p>
      </dgm:t>
    </dgm:pt>
    <dgm:pt modelId="{58BCB567-3D7E-44BB-89DB-607C6DC8CDB0}" type="parTrans" cxnId="{40E9A00A-1DEB-4939-A358-89DE25046D87}">
      <dgm:prSet/>
      <dgm:spPr/>
      <dgm:t>
        <a:bodyPr/>
        <a:lstStyle/>
        <a:p>
          <a:endParaRPr lang="en-GB"/>
        </a:p>
      </dgm:t>
    </dgm:pt>
    <dgm:pt modelId="{4D601B80-8C66-4063-BA20-4309264FA482}" type="sibTrans" cxnId="{40E9A00A-1DEB-4939-A358-89DE25046D87}">
      <dgm:prSet/>
      <dgm:spPr/>
      <dgm:t>
        <a:bodyPr/>
        <a:lstStyle/>
        <a:p>
          <a:endParaRPr lang="en-GB"/>
        </a:p>
      </dgm:t>
    </dgm:pt>
    <dgm:pt modelId="{5DAB6DC3-CDEF-4480-9151-A495CD784F0B}">
      <dgm:prSet phldrT="[Text]" custT="1"/>
      <dgm:spPr>
        <a:xfrm>
          <a:off x="8594" y="2540849"/>
          <a:ext cx="1349164" cy="1349164"/>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500" dirty="0" smtClean="0">
              <a:solidFill>
                <a:sysClr val="windowText" lastClr="000000"/>
              </a:solidFill>
              <a:latin typeface="Calibri"/>
              <a:ea typeface="+mn-ea"/>
              <a:cs typeface="+mn-cs"/>
            </a:rPr>
            <a:t>Minor surgery</a:t>
          </a:r>
          <a:endParaRPr lang="en-GB" sz="1500" dirty="0">
            <a:solidFill>
              <a:sysClr val="windowText" lastClr="000000"/>
            </a:solidFill>
            <a:latin typeface="Calibri"/>
            <a:ea typeface="+mn-ea"/>
            <a:cs typeface="+mn-cs"/>
          </a:endParaRPr>
        </a:p>
      </dgm:t>
    </dgm:pt>
    <dgm:pt modelId="{D9DC3E95-398B-4B22-98B5-E7CEF23F70C2}" type="parTrans" cxnId="{ACCF830B-9A49-4598-8FC5-708CDDAA1652}">
      <dgm:prSet/>
      <dgm:spPr/>
      <dgm:t>
        <a:bodyPr/>
        <a:lstStyle/>
        <a:p>
          <a:endParaRPr lang="en-GB"/>
        </a:p>
      </dgm:t>
    </dgm:pt>
    <dgm:pt modelId="{9A7009B4-51F4-4D8F-9CA3-8B1401F977EF}" type="sibTrans" cxnId="{ACCF830B-9A49-4598-8FC5-708CDDAA1652}">
      <dgm:prSet/>
      <dgm:spPr/>
      <dgm:t>
        <a:bodyPr/>
        <a:lstStyle/>
        <a:p>
          <a:endParaRPr lang="en-GB"/>
        </a:p>
      </dgm:t>
    </dgm:pt>
    <dgm:pt modelId="{3A37D72A-0C8B-4D7E-AFDD-3E66B3A3DB80}">
      <dgm:prSet phldrT="[Text]" custT="1"/>
      <dgm:spPr>
        <a:xfrm>
          <a:off x="391432" y="1531388"/>
          <a:ext cx="1349164" cy="1349164"/>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500" dirty="0" smtClean="0">
              <a:solidFill>
                <a:sysClr val="windowText" lastClr="000000"/>
              </a:solidFill>
              <a:latin typeface="Calibri"/>
              <a:ea typeface="+mn-ea"/>
              <a:cs typeface="+mn-cs"/>
            </a:rPr>
            <a:t>Dietician</a:t>
          </a:r>
          <a:endParaRPr lang="en-GB" sz="1500" dirty="0">
            <a:solidFill>
              <a:sysClr val="windowText" lastClr="000000"/>
            </a:solidFill>
            <a:latin typeface="Calibri"/>
            <a:ea typeface="+mn-ea"/>
            <a:cs typeface="+mn-cs"/>
          </a:endParaRPr>
        </a:p>
      </dgm:t>
    </dgm:pt>
    <dgm:pt modelId="{3CB6B0F7-58D1-4E38-8783-FA1C769C5990}" type="parTrans" cxnId="{B75EC6CA-E8B1-410A-8F83-3BED365C65BE}">
      <dgm:prSet/>
      <dgm:spPr/>
      <dgm:t>
        <a:bodyPr/>
        <a:lstStyle/>
        <a:p>
          <a:endParaRPr lang="en-GB"/>
        </a:p>
      </dgm:t>
    </dgm:pt>
    <dgm:pt modelId="{A0124DF7-D2E5-449D-A183-393EC874A93B}" type="sibTrans" cxnId="{B75EC6CA-E8B1-410A-8F83-3BED365C65BE}">
      <dgm:prSet/>
      <dgm:spPr/>
      <dgm:t>
        <a:bodyPr/>
        <a:lstStyle/>
        <a:p>
          <a:endParaRPr lang="en-GB"/>
        </a:p>
      </dgm:t>
    </dgm:pt>
    <dgm:pt modelId="{7BF9FB61-A900-41CF-834E-85B86E0013FB}">
      <dgm:prSet phldrT="[Text]" custT="1"/>
      <dgm:spPr>
        <a:xfrm>
          <a:off x="1123342" y="815465"/>
          <a:ext cx="1349164" cy="1349164"/>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500" dirty="0" smtClean="0">
              <a:solidFill>
                <a:sysClr val="windowText" lastClr="000000"/>
              </a:solidFill>
              <a:latin typeface="Calibri"/>
              <a:ea typeface="+mn-ea"/>
              <a:cs typeface="+mn-cs"/>
            </a:rPr>
            <a:t>Treatment room wound care</a:t>
          </a:r>
          <a:endParaRPr lang="en-GB" sz="1500" dirty="0">
            <a:solidFill>
              <a:sysClr val="windowText" lastClr="000000"/>
            </a:solidFill>
            <a:latin typeface="Calibri"/>
            <a:ea typeface="+mn-ea"/>
            <a:cs typeface="+mn-cs"/>
          </a:endParaRPr>
        </a:p>
      </dgm:t>
    </dgm:pt>
    <dgm:pt modelId="{34E25F66-A148-4F0D-B7C2-23D22FEBCBBB}" type="parTrans" cxnId="{2F23E397-9BA3-4227-B012-00C66BDF9080}">
      <dgm:prSet/>
      <dgm:spPr/>
      <dgm:t>
        <a:bodyPr/>
        <a:lstStyle/>
        <a:p>
          <a:endParaRPr lang="en-GB"/>
        </a:p>
      </dgm:t>
    </dgm:pt>
    <dgm:pt modelId="{9BED2968-7BEF-416A-9059-ECB215534724}" type="sibTrans" cxnId="{2F23E397-9BA3-4227-B012-00C66BDF9080}">
      <dgm:prSet/>
      <dgm:spPr/>
      <dgm:t>
        <a:bodyPr/>
        <a:lstStyle/>
        <a:p>
          <a:endParaRPr lang="en-GB"/>
        </a:p>
      </dgm:t>
    </dgm:pt>
    <dgm:pt modelId="{19D0E197-D6F2-4076-B627-1E522B46037F}">
      <dgm:prSet custT="1"/>
      <dgm:spPr>
        <a:xfrm>
          <a:off x="52037" y="3546959"/>
          <a:ext cx="1522545" cy="1480437"/>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200" dirty="0" smtClean="0">
              <a:solidFill>
                <a:sysClr val="windowText" lastClr="000000"/>
              </a:solidFill>
              <a:latin typeface="Calibri"/>
              <a:ea typeface="+mn-ea"/>
              <a:cs typeface="+mn-cs"/>
            </a:rPr>
            <a:t>Reception</a:t>
          </a:r>
          <a:endParaRPr lang="en-GB" sz="1300" dirty="0" smtClean="0">
            <a:solidFill>
              <a:sysClr val="windowText" lastClr="000000"/>
            </a:solidFill>
            <a:latin typeface="Calibri"/>
            <a:ea typeface="+mn-ea"/>
            <a:cs typeface="+mn-cs"/>
          </a:endParaRPr>
        </a:p>
        <a:p>
          <a:r>
            <a:rPr lang="en-GB" sz="1200" dirty="0" smtClean="0">
              <a:solidFill>
                <a:sysClr val="windowText" lastClr="000000"/>
              </a:solidFill>
              <a:latin typeface="Calibri"/>
              <a:ea typeface="+mn-ea"/>
              <a:cs typeface="+mn-cs"/>
            </a:rPr>
            <a:t>Administration</a:t>
          </a:r>
          <a:endParaRPr lang="en-GB" sz="1200" dirty="0">
            <a:solidFill>
              <a:sysClr val="windowText" lastClr="000000"/>
            </a:solidFill>
            <a:latin typeface="Calibri"/>
            <a:ea typeface="+mn-ea"/>
            <a:cs typeface="+mn-cs"/>
          </a:endParaRPr>
        </a:p>
      </dgm:t>
    </dgm:pt>
    <dgm:pt modelId="{0AC50BFC-5840-4F11-97D2-FE667BA807C3}" type="parTrans" cxnId="{DCE89FA5-1800-4F5F-A5D4-0354DD7CAADC}">
      <dgm:prSet/>
      <dgm:spPr/>
      <dgm:t>
        <a:bodyPr/>
        <a:lstStyle/>
        <a:p>
          <a:endParaRPr lang="en-GB"/>
        </a:p>
      </dgm:t>
    </dgm:pt>
    <dgm:pt modelId="{BF74FDAA-DCF5-4E28-BE13-65EE233C7BA5}" type="sibTrans" cxnId="{DCE89FA5-1800-4F5F-A5D4-0354DD7CAADC}">
      <dgm:prSet/>
      <dgm:spPr/>
      <dgm:t>
        <a:bodyPr/>
        <a:lstStyle/>
        <a:p>
          <a:endParaRPr lang="en-GB"/>
        </a:p>
      </dgm:t>
    </dgm:pt>
    <dgm:pt modelId="{0736155B-961A-4F75-9F9D-C23F7147294E}">
      <dgm:prSet custT="1"/>
      <dgm:spPr>
        <a:xfrm>
          <a:off x="628189" y="4605871"/>
          <a:ext cx="1349164" cy="1349164"/>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400" dirty="0" smtClean="0">
              <a:solidFill>
                <a:sysClr val="windowText" lastClr="000000"/>
              </a:solidFill>
              <a:latin typeface="Calibri"/>
              <a:ea typeface="+mn-ea"/>
              <a:cs typeface="+mn-cs"/>
            </a:rPr>
            <a:t>Health Visitor </a:t>
          </a:r>
          <a:endParaRPr lang="en-GB" sz="1400" dirty="0">
            <a:solidFill>
              <a:sysClr val="windowText" lastClr="000000"/>
            </a:solidFill>
            <a:latin typeface="Calibri"/>
            <a:ea typeface="+mn-ea"/>
            <a:cs typeface="+mn-cs"/>
          </a:endParaRPr>
        </a:p>
      </dgm:t>
    </dgm:pt>
    <dgm:pt modelId="{BE3BCE8D-B93F-4063-86C1-977A0B3C80D7}" type="parTrans" cxnId="{39B48EAA-A605-4A3C-A23C-92EAD9AA1DB4}">
      <dgm:prSet/>
      <dgm:spPr/>
      <dgm:t>
        <a:bodyPr/>
        <a:lstStyle/>
        <a:p>
          <a:endParaRPr lang="en-GB"/>
        </a:p>
      </dgm:t>
    </dgm:pt>
    <dgm:pt modelId="{AD3B611E-6604-46DA-89B8-53B5AB6E0594}" type="sibTrans" cxnId="{39B48EAA-A605-4A3C-A23C-92EAD9AA1DB4}">
      <dgm:prSet/>
      <dgm:spPr/>
      <dgm:t>
        <a:bodyPr/>
        <a:lstStyle/>
        <a:p>
          <a:endParaRPr lang="en-GB"/>
        </a:p>
      </dgm:t>
    </dgm:pt>
    <dgm:pt modelId="{0C3434E8-FCDF-4428-A9AA-879E9100FEEA}">
      <dgm:prSet custT="1"/>
      <dgm:spPr>
        <a:xfrm>
          <a:off x="3372343" y="841659"/>
          <a:ext cx="1253683" cy="1315853"/>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500" dirty="0" smtClean="0">
              <a:solidFill>
                <a:sysClr val="windowText" lastClr="000000"/>
              </a:solidFill>
              <a:latin typeface="Calibri"/>
              <a:ea typeface="+mn-ea"/>
              <a:cs typeface="+mn-cs"/>
            </a:rPr>
            <a:t>ANP</a:t>
          </a:r>
          <a:endParaRPr lang="en-GB" sz="1500" dirty="0">
            <a:solidFill>
              <a:sysClr val="windowText" lastClr="000000"/>
            </a:solidFill>
            <a:latin typeface="Calibri"/>
            <a:ea typeface="+mn-ea"/>
            <a:cs typeface="+mn-cs"/>
          </a:endParaRPr>
        </a:p>
      </dgm:t>
    </dgm:pt>
    <dgm:pt modelId="{7A002C84-67D0-4A1A-8E5E-58FC880E5FEA}" type="parTrans" cxnId="{FE84D365-DA6E-45A8-9DDF-FD6090DEB584}">
      <dgm:prSet/>
      <dgm:spPr/>
      <dgm:t>
        <a:bodyPr/>
        <a:lstStyle/>
        <a:p>
          <a:endParaRPr lang="en-GB"/>
        </a:p>
      </dgm:t>
    </dgm:pt>
    <dgm:pt modelId="{DA74B1DC-F2E5-4308-A0B0-56FA0DD3AAA0}" type="sibTrans" cxnId="{FE84D365-DA6E-45A8-9DDF-FD6090DEB584}">
      <dgm:prSet/>
      <dgm:spPr/>
      <dgm:t>
        <a:bodyPr/>
        <a:lstStyle/>
        <a:p>
          <a:endParaRPr lang="en-GB"/>
        </a:p>
      </dgm:t>
    </dgm:pt>
    <dgm:pt modelId="{0189F788-E711-48B4-87D7-3E45A9306017}">
      <dgm:prSet custT="1"/>
      <dgm:spPr>
        <a:xfrm>
          <a:off x="1697402" y="5184986"/>
          <a:ext cx="1332205" cy="1289639"/>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200" smtClean="0">
              <a:solidFill>
                <a:sysClr val="windowText" lastClr="000000"/>
              </a:solidFill>
              <a:latin typeface="Calibri"/>
              <a:ea typeface="+mn-ea"/>
              <a:cs typeface="+mn-cs"/>
            </a:rPr>
            <a:t>Childhood vaccinations</a:t>
          </a:r>
          <a:endParaRPr lang="en-GB" sz="1200" dirty="0">
            <a:solidFill>
              <a:sysClr val="windowText" lastClr="000000"/>
            </a:solidFill>
            <a:latin typeface="Calibri"/>
            <a:ea typeface="+mn-ea"/>
            <a:cs typeface="+mn-cs"/>
          </a:endParaRPr>
        </a:p>
      </dgm:t>
    </dgm:pt>
    <dgm:pt modelId="{EFABED79-51AC-405F-91C4-576BD114307E}" type="parTrans" cxnId="{F5C1433E-93E9-4C53-A016-F4DBA317B1CB}">
      <dgm:prSet/>
      <dgm:spPr/>
      <dgm:t>
        <a:bodyPr/>
        <a:lstStyle/>
        <a:p>
          <a:endParaRPr lang="en-GB"/>
        </a:p>
      </dgm:t>
    </dgm:pt>
    <dgm:pt modelId="{56E248DB-5606-4918-B4A1-8959E4A62610}" type="sibTrans" cxnId="{F5C1433E-93E9-4C53-A016-F4DBA317B1CB}">
      <dgm:prSet/>
      <dgm:spPr/>
      <dgm:t>
        <a:bodyPr/>
        <a:lstStyle/>
        <a:p>
          <a:endParaRPr lang="en-GB"/>
        </a:p>
      </dgm:t>
    </dgm:pt>
    <dgm:pt modelId="{7923B911-4C51-4A9F-A0C7-1270AD07E2CE}">
      <dgm:prSet custT="1"/>
      <dgm:spPr>
        <a:xfrm>
          <a:off x="4127370" y="1514104"/>
          <a:ext cx="1245548" cy="1250378"/>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400" dirty="0" smtClean="0">
              <a:solidFill>
                <a:sysClr val="windowText" lastClr="000000"/>
              </a:solidFill>
              <a:latin typeface="Calibri"/>
              <a:ea typeface="+mn-ea"/>
              <a:cs typeface="+mn-cs"/>
            </a:rPr>
            <a:t>Midwifery services</a:t>
          </a:r>
          <a:endParaRPr lang="en-GB" sz="1400" dirty="0">
            <a:solidFill>
              <a:sysClr val="windowText" lastClr="000000"/>
            </a:solidFill>
            <a:latin typeface="Calibri"/>
            <a:ea typeface="+mn-ea"/>
            <a:cs typeface="+mn-cs"/>
          </a:endParaRPr>
        </a:p>
      </dgm:t>
    </dgm:pt>
    <dgm:pt modelId="{EBB4D475-B66A-4A1B-8FB2-A9EF9412472C}" type="parTrans" cxnId="{F636D527-E0C8-426F-81BA-E89E63F6D5BF}">
      <dgm:prSet/>
      <dgm:spPr/>
      <dgm:t>
        <a:bodyPr/>
        <a:lstStyle/>
        <a:p>
          <a:endParaRPr lang="en-GB"/>
        </a:p>
      </dgm:t>
    </dgm:pt>
    <dgm:pt modelId="{9602E106-0EFB-4E75-8D76-8F4D1D055E74}" type="sibTrans" cxnId="{F636D527-E0C8-426F-81BA-E89E63F6D5BF}">
      <dgm:prSet/>
      <dgm:spPr/>
      <dgm:t>
        <a:bodyPr/>
        <a:lstStyle/>
        <a:p>
          <a:endParaRPr lang="en-GB"/>
        </a:p>
      </dgm:t>
    </dgm:pt>
    <dgm:pt modelId="{FD3AEB9E-821B-4B56-A4BC-021BE989FA03}">
      <dgm:prSet custT="1"/>
      <dgm:spPr>
        <a:xfrm>
          <a:off x="3788505" y="4641678"/>
          <a:ext cx="1430707" cy="1448975"/>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400" dirty="0" smtClean="0">
              <a:solidFill>
                <a:sysClr val="windowText" lastClr="000000"/>
              </a:solidFill>
              <a:latin typeface="Calibri"/>
              <a:ea typeface="+mn-ea"/>
              <a:cs typeface="+mn-cs"/>
            </a:rPr>
            <a:t>District Nurse / Community Matron</a:t>
          </a:r>
          <a:endParaRPr lang="en-GB" sz="1400" dirty="0">
            <a:solidFill>
              <a:sysClr val="windowText" lastClr="000000"/>
            </a:solidFill>
            <a:latin typeface="Calibri"/>
            <a:ea typeface="+mn-ea"/>
            <a:cs typeface="+mn-cs"/>
          </a:endParaRPr>
        </a:p>
      </dgm:t>
    </dgm:pt>
    <dgm:pt modelId="{32E1FC80-AAD4-4A19-9EDC-BD3EAD88B35A}" type="parTrans" cxnId="{B989076A-2988-4287-9A49-0235E5145EB5}">
      <dgm:prSet/>
      <dgm:spPr/>
      <dgm:t>
        <a:bodyPr/>
        <a:lstStyle/>
        <a:p>
          <a:endParaRPr lang="en-GB"/>
        </a:p>
      </dgm:t>
    </dgm:pt>
    <dgm:pt modelId="{39EB7A60-9BCD-4B46-92B3-2148B64ADC5C}" type="sibTrans" cxnId="{B989076A-2988-4287-9A49-0235E5145EB5}">
      <dgm:prSet/>
      <dgm:spPr/>
      <dgm:t>
        <a:bodyPr/>
        <a:lstStyle/>
        <a:p>
          <a:endParaRPr lang="en-GB"/>
        </a:p>
      </dgm:t>
    </dgm:pt>
    <dgm:pt modelId="{0AEC3CAE-2735-4AAB-9AF5-A460E84BD21A}">
      <dgm:prSet custT="1"/>
      <dgm:spPr>
        <a:xfrm>
          <a:off x="2832222" y="5353807"/>
          <a:ext cx="1317067" cy="1275864"/>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500" dirty="0" smtClean="0">
              <a:solidFill>
                <a:sysClr val="windowText" lastClr="000000"/>
              </a:solidFill>
              <a:latin typeface="Calibri"/>
              <a:ea typeface="+mn-ea"/>
              <a:cs typeface="+mn-cs"/>
            </a:rPr>
            <a:t>GP</a:t>
          </a:r>
          <a:endParaRPr lang="en-GB" sz="1500" dirty="0">
            <a:solidFill>
              <a:sysClr val="windowText" lastClr="000000"/>
            </a:solidFill>
            <a:latin typeface="Calibri"/>
            <a:ea typeface="+mn-ea"/>
            <a:cs typeface="+mn-cs"/>
          </a:endParaRPr>
        </a:p>
      </dgm:t>
    </dgm:pt>
    <dgm:pt modelId="{5823F5D9-8A58-4583-A4EE-16DDE0B1A1FD}" type="parTrans" cxnId="{71B5DFA6-6766-4DDA-AF52-521149F0F608}">
      <dgm:prSet/>
      <dgm:spPr/>
      <dgm:t>
        <a:bodyPr/>
        <a:lstStyle/>
        <a:p>
          <a:endParaRPr lang="en-GB"/>
        </a:p>
      </dgm:t>
    </dgm:pt>
    <dgm:pt modelId="{10DD5584-17BA-48A0-AE05-1530A6B0138B}" type="sibTrans" cxnId="{71B5DFA6-6766-4DDA-AF52-521149F0F608}">
      <dgm:prSet/>
      <dgm:spPr/>
      <dgm:t>
        <a:bodyPr/>
        <a:lstStyle/>
        <a:p>
          <a:endParaRPr lang="en-GB"/>
        </a:p>
      </dgm:t>
    </dgm:pt>
    <dgm:pt modelId="{EF6A256C-D33C-453E-88D9-49490AB1935F}">
      <dgm:prSet custT="1"/>
      <dgm:spPr>
        <a:xfrm>
          <a:off x="4511001" y="2508927"/>
          <a:ext cx="1318295" cy="1241568"/>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500" dirty="0" smtClean="0">
              <a:solidFill>
                <a:sysClr val="windowText" lastClr="000000"/>
              </a:solidFill>
              <a:latin typeface="Calibri"/>
              <a:ea typeface="+mn-ea"/>
              <a:cs typeface="+mn-cs"/>
            </a:rPr>
            <a:t>Long term conditions</a:t>
          </a:r>
          <a:endParaRPr lang="en-GB" sz="1500" dirty="0">
            <a:solidFill>
              <a:sysClr val="windowText" lastClr="000000"/>
            </a:solidFill>
            <a:latin typeface="Calibri"/>
            <a:ea typeface="+mn-ea"/>
            <a:cs typeface="+mn-cs"/>
          </a:endParaRPr>
        </a:p>
      </dgm:t>
    </dgm:pt>
    <dgm:pt modelId="{A75D2B81-54FF-45B3-BB11-A4438F977D3B}" type="parTrans" cxnId="{93196C68-DD0C-4AB2-A6C5-3816DF2A220B}">
      <dgm:prSet/>
      <dgm:spPr/>
      <dgm:t>
        <a:bodyPr/>
        <a:lstStyle/>
        <a:p>
          <a:endParaRPr lang="en-GB"/>
        </a:p>
      </dgm:t>
    </dgm:pt>
    <dgm:pt modelId="{32492850-6D9B-48D4-A3D4-A59FA10CE08B}" type="sibTrans" cxnId="{93196C68-DD0C-4AB2-A6C5-3816DF2A220B}">
      <dgm:prSet/>
      <dgm:spPr/>
      <dgm:t>
        <a:bodyPr/>
        <a:lstStyle/>
        <a:p>
          <a:endParaRPr lang="en-GB"/>
        </a:p>
      </dgm:t>
    </dgm:pt>
    <dgm:pt modelId="{0E4319AE-9C0D-438F-B4D1-8537395FE5BB}">
      <dgm:prSet custT="1"/>
      <dgm:spPr>
        <a:xfrm>
          <a:off x="4480127" y="3564967"/>
          <a:ext cx="1349164" cy="1349164"/>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gm:spPr>
      <dgm:t>
        <a:bodyPr/>
        <a:lstStyle/>
        <a:p>
          <a:r>
            <a:rPr lang="en-GB" sz="1400" dirty="0" smtClean="0">
              <a:solidFill>
                <a:sysClr val="windowText" lastClr="000000"/>
              </a:solidFill>
              <a:latin typeface="Calibri"/>
              <a:ea typeface="+mn-ea"/>
              <a:cs typeface="+mn-cs"/>
            </a:rPr>
            <a:t>Social care, voluntary sector &amp; other solutions</a:t>
          </a:r>
          <a:endParaRPr lang="en-GB" sz="1400" dirty="0">
            <a:solidFill>
              <a:sysClr val="windowText" lastClr="000000"/>
            </a:solidFill>
            <a:latin typeface="Calibri"/>
            <a:ea typeface="+mn-ea"/>
            <a:cs typeface="+mn-cs"/>
          </a:endParaRPr>
        </a:p>
      </dgm:t>
    </dgm:pt>
    <dgm:pt modelId="{F4C1E89D-76BA-43CB-ADC9-592F36DE4E25}" type="parTrans" cxnId="{B60AC8F0-FFCF-40F1-8FA6-879E708D405D}">
      <dgm:prSet/>
      <dgm:spPr/>
      <dgm:t>
        <a:bodyPr/>
        <a:lstStyle/>
        <a:p>
          <a:endParaRPr lang="en-GB"/>
        </a:p>
      </dgm:t>
    </dgm:pt>
    <dgm:pt modelId="{A78EB445-40E4-4158-8DEA-4521D9A29640}" type="sibTrans" cxnId="{B60AC8F0-FFCF-40F1-8FA6-879E708D405D}">
      <dgm:prSet/>
      <dgm:spPr/>
      <dgm:t>
        <a:bodyPr/>
        <a:lstStyle/>
        <a:p>
          <a:endParaRPr lang="en-GB"/>
        </a:p>
      </dgm:t>
    </dgm:pt>
    <dgm:pt modelId="{92576859-9EAE-4C70-94DF-78F676B53DA9}" type="pres">
      <dgm:prSet presAssocID="{1AECB152-05E5-42A8-9AD2-8F4FEB29129E}" presName="composite" presStyleCnt="0">
        <dgm:presLayoutVars>
          <dgm:chMax val="1"/>
          <dgm:dir/>
          <dgm:resizeHandles val="exact"/>
        </dgm:presLayoutVars>
      </dgm:prSet>
      <dgm:spPr/>
      <dgm:t>
        <a:bodyPr/>
        <a:lstStyle/>
        <a:p>
          <a:endParaRPr lang="en-GB"/>
        </a:p>
      </dgm:t>
    </dgm:pt>
    <dgm:pt modelId="{BA35DF24-4D5F-40B1-8193-2903D8E1E5E3}" type="pres">
      <dgm:prSet presAssocID="{1AECB152-05E5-42A8-9AD2-8F4FEB29129E}" presName="radial" presStyleCnt="0">
        <dgm:presLayoutVars>
          <dgm:animLvl val="ctr"/>
        </dgm:presLayoutVars>
      </dgm:prSet>
      <dgm:spPr/>
    </dgm:pt>
    <dgm:pt modelId="{7F4095E8-B023-496C-A52E-ACEE14F0BE6D}" type="pres">
      <dgm:prSet presAssocID="{9D129FD1-D4D7-42C3-8D89-568DCAC64297}" presName="centerShape" presStyleLbl="vennNode1" presStyleIdx="0" presStyleCnt="14"/>
      <dgm:spPr/>
      <dgm:t>
        <a:bodyPr/>
        <a:lstStyle/>
        <a:p>
          <a:endParaRPr lang="en-GB"/>
        </a:p>
      </dgm:t>
    </dgm:pt>
    <dgm:pt modelId="{D7A6EBE8-B762-40FC-996B-116A68A1C5C2}" type="pres">
      <dgm:prSet presAssocID="{57D00A03-FB2F-49CB-A643-7B97492E2025}" presName="node" presStyleLbl="vennNode1" presStyleIdx="1" presStyleCnt="14" custScaleX="99326" custScaleY="96102">
        <dgm:presLayoutVars>
          <dgm:bulletEnabled val="1"/>
        </dgm:presLayoutVars>
      </dgm:prSet>
      <dgm:spPr/>
      <dgm:t>
        <a:bodyPr/>
        <a:lstStyle/>
        <a:p>
          <a:endParaRPr lang="en-GB"/>
        </a:p>
      </dgm:t>
    </dgm:pt>
    <dgm:pt modelId="{631D9EC9-FA0B-4543-A810-F4140C85B4A5}" type="pres">
      <dgm:prSet presAssocID="{0C3434E8-FCDF-4428-A9AA-879E9100FEEA}" presName="node" presStyleLbl="vennNode1" presStyleIdx="2" presStyleCnt="14" custScaleX="92923" custScaleY="97531" custRadScaleRad="100223" custRadScaleInc="2721">
        <dgm:presLayoutVars>
          <dgm:bulletEnabled val="1"/>
        </dgm:presLayoutVars>
      </dgm:prSet>
      <dgm:spPr/>
      <dgm:t>
        <a:bodyPr/>
        <a:lstStyle/>
        <a:p>
          <a:endParaRPr lang="en-GB"/>
        </a:p>
      </dgm:t>
    </dgm:pt>
    <dgm:pt modelId="{C527AF6F-439A-4BE6-B4DB-4BB1EAC482DB}" type="pres">
      <dgm:prSet presAssocID="{7923B911-4C51-4A9F-A0C7-1270AD07E2CE}" presName="node" presStyleLbl="vennNode1" presStyleIdx="3" presStyleCnt="14" custScaleX="92320" custScaleY="92678" custRadScaleRad="100686" custRadScaleInc="-6479">
        <dgm:presLayoutVars>
          <dgm:bulletEnabled val="1"/>
        </dgm:presLayoutVars>
      </dgm:prSet>
      <dgm:spPr/>
      <dgm:t>
        <a:bodyPr/>
        <a:lstStyle/>
        <a:p>
          <a:endParaRPr lang="en-GB"/>
        </a:p>
      </dgm:t>
    </dgm:pt>
    <dgm:pt modelId="{CF8F57CD-6E76-4180-BF93-A9476178E816}" type="pres">
      <dgm:prSet presAssocID="{EF6A256C-D33C-453E-88D9-49490AB1935F}" presName="node" presStyleLbl="vennNode1" presStyleIdx="4" presStyleCnt="14" custScaleX="97712" custScaleY="92025" custRadScaleRad="100905" custRadScaleInc="-7643">
        <dgm:presLayoutVars>
          <dgm:bulletEnabled val="1"/>
        </dgm:presLayoutVars>
      </dgm:prSet>
      <dgm:spPr/>
      <dgm:t>
        <a:bodyPr/>
        <a:lstStyle/>
        <a:p>
          <a:endParaRPr lang="en-GB"/>
        </a:p>
      </dgm:t>
    </dgm:pt>
    <dgm:pt modelId="{DDBAF969-4393-4701-B405-316FAD5642F5}" type="pres">
      <dgm:prSet presAssocID="{0E4319AE-9C0D-438F-B4D1-8537395FE5BB}" presName="node" presStyleLbl="vennNode1" presStyleIdx="5" presStyleCnt="14" custRadScaleRad="104435" custRadScaleInc="-7753">
        <dgm:presLayoutVars>
          <dgm:bulletEnabled val="1"/>
        </dgm:presLayoutVars>
      </dgm:prSet>
      <dgm:spPr/>
      <dgm:t>
        <a:bodyPr/>
        <a:lstStyle/>
        <a:p>
          <a:endParaRPr lang="en-GB"/>
        </a:p>
      </dgm:t>
    </dgm:pt>
    <dgm:pt modelId="{B5177C9C-01F6-40ED-8B27-EF0320BD2480}" type="pres">
      <dgm:prSet presAssocID="{FD3AEB9E-821B-4B56-A4BC-021BE989FA03}" presName="node" presStyleLbl="vennNode1" presStyleIdx="6" presStyleCnt="14" custScaleX="106044" custScaleY="107398" custRadScaleRad="108876" custRadScaleInc="5236">
        <dgm:presLayoutVars>
          <dgm:bulletEnabled val="1"/>
        </dgm:presLayoutVars>
      </dgm:prSet>
      <dgm:spPr/>
      <dgm:t>
        <a:bodyPr/>
        <a:lstStyle/>
        <a:p>
          <a:endParaRPr lang="en-GB"/>
        </a:p>
      </dgm:t>
    </dgm:pt>
    <dgm:pt modelId="{5E7D5935-9805-4B26-8136-99E40992000F}" type="pres">
      <dgm:prSet presAssocID="{0AEC3CAE-2735-4AAB-9AF5-A460E84BD21A}" presName="node" presStyleLbl="vennNode1" presStyleIdx="7" presStyleCnt="14" custScaleX="97621" custScaleY="94567" custRadScaleRad="113853" custRadScaleInc="3825">
        <dgm:presLayoutVars>
          <dgm:bulletEnabled val="1"/>
        </dgm:presLayoutVars>
      </dgm:prSet>
      <dgm:spPr/>
      <dgm:t>
        <a:bodyPr/>
        <a:lstStyle/>
        <a:p>
          <a:endParaRPr lang="en-GB"/>
        </a:p>
      </dgm:t>
    </dgm:pt>
    <dgm:pt modelId="{94825804-48CE-414C-A08C-55E76B488D63}" type="pres">
      <dgm:prSet presAssocID="{0189F788-E711-48B4-87D7-3E45A9306017}" presName="node" presStyleLbl="vennNode1" presStyleIdx="8" presStyleCnt="14" custScaleX="98743" custScaleY="95588" custRadScaleRad="107461" custRadScaleInc="1004">
        <dgm:presLayoutVars>
          <dgm:bulletEnabled val="1"/>
        </dgm:presLayoutVars>
      </dgm:prSet>
      <dgm:spPr/>
      <dgm:t>
        <a:bodyPr/>
        <a:lstStyle/>
        <a:p>
          <a:endParaRPr lang="en-GB"/>
        </a:p>
      </dgm:t>
    </dgm:pt>
    <dgm:pt modelId="{080EED1D-A55C-48FC-B287-D26CCA3FB3E0}" type="pres">
      <dgm:prSet presAssocID="{0736155B-961A-4F75-9F9D-C23F7147294E}" presName="node" presStyleLbl="vennNode1" presStyleIdx="9" presStyleCnt="14" custRadScaleRad="107122" custRadScaleInc="1988">
        <dgm:presLayoutVars>
          <dgm:bulletEnabled val="1"/>
        </dgm:presLayoutVars>
      </dgm:prSet>
      <dgm:spPr/>
      <dgm:t>
        <a:bodyPr/>
        <a:lstStyle/>
        <a:p>
          <a:endParaRPr lang="en-GB"/>
        </a:p>
      </dgm:t>
    </dgm:pt>
    <dgm:pt modelId="{702EBF0F-56AB-4058-B734-1500D2E407AD}" type="pres">
      <dgm:prSet presAssocID="{19D0E197-D6F2-4076-B627-1E522B46037F}" presName="node" presStyleLbl="vennNode1" presStyleIdx="10" presStyleCnt="14" custScaleX="109777" custScaleY="109361">
        <dgm:presLayoutVars>
          <dgm:bulletEnabled val="1"/>
        </dgm:presLayoutVars>
      </dgm:prSet>
      <dgm:spPr/>
      <dgm:t>
        <a:bodyPr/>
        <a:lstStyle/>
        <a:p>
          <a:endParaRPr lang="en-GB"/>
        </a:p>
      </dgm:t>
    </dgm:pt>
    <dgm:pt modelId="{2BF7361A-9F8D-4033-934D-7FC4FE5C9717}" type="pres">
      <dgm:prSet presAssocID="{5DAB6DC3-CDEF-4480-9151-A495CD784F0B}" presName="node" presStyleLbl="vennNode1" presStyleIdx="11" presStyleCnt="14">
        <dgm:presLayoutVars>
          <dgm:bulletEnabled val="1"/>
        </dgm:presLayoutVars>
      </dgm:prSet>
      <dgm:spPr/>
      <dgm:t>
        <a:bodyPr/>
        <a:lstStyle/>
        <a:p>
          <a:endParaRPr lang="en-GB"/>
        </a:p>
      </dgm:t>
    </dgm:pt>
    <dgm:pt modelId="{07D574D7-F07B-4686-9255-1619946F7BE9}" type="pres">
      <dgm:prSet presAssocID="{3A37D72A-0C8B-4D7E-AFDD-3E66B3A3DB80}" presName="node" presStyleLbl="vennNode1" presStyleIdx="12" presStyleCnt="14">
        <dgm:presLayoutVars>
          <dgm:bulletEnabled val="1"/>
        </dgm:presLayoutVars>
      </dgm:prSet>
      <dgm:spPr/>
      <dgm:t>
        <a:bodyPr/>
        <a:lstStyle/>
        <a:p>
          <a:endParaRPr lang="en-GB"/>
        </a:p>
      </dgm:t>
    </dgm:pt>
    <dgm:pt modelId="{F8DC60FB-7234-4984-B09B-557B197C23C6}" type="pres">
      <dgm:prSet presAssocID="{7BF9FB61-A900-41CF-834E-85B86E0013FB}" presName="node" presStyleLbl="vennNode1" presStyleIdx="13" presStyleCnt="14" custRadScaleRad="101614" custRadScaleInc="-6091">
        <dgm:presLayoutVars>
          <dgm:bulletEnabled val="1"/>
        </dgm:presLayoutVars>
      </dgm:prSet>
      <dgm:spPr/>
      <dgm:t>
        <a:bodyPr/>
        <a:lstStyle/>
        <a:p>
          <a:endParaRPr lang="en-GB"/>
        </a:p>
      </dgm:t>
    </dgm:pt>
  </dgm:ptLst>
  <dgm:cxnLst>
    <dgm:cxn modelId="{93196C68-DD0C-4AB2-A6C5-3816DF2A220B}" srcId="{9D129FD1-D4D7-42C3-8D89-568DCAC64297}" destId="{EF6A256C-D33C-453E-88D9-49490AB1935F}" srcOrd="3" destOrd="0" parTransId="{A75D2B81-54FF-45B3-BB11-A4438F977D3B}" sibTransId="{32492850-6D9B-48D4-A3D4-A59FA10CE08B}"/>
    <dgm:cxn modelId="{0594205C-687A-48B1-A1B0-7CC6DBF3422E}" type="presOf" srcId="{57D00A03-FB2F-49CB-A643-7B97492E2025}" destId="{D7A6EBE8-B762-40FC-996B-116A68A1C5C2}" srcOrd="0" destOrd="0" presId="urn:microsoft.com/office/officeart/2005/8/layout/radial3"/>
    <dgm:cxn modelId="{749EF1BF-086D-4BFE-82A0-69EC8AD7FDFD}" type="presOf" srcId="{0736155B-961A-4F75-9F9D-C23F7147294E}" destId="{080EED1D-A55C-48FC-B287-D26CCA3FB3E0}" srcOrd="0" destOrd="0" presId="urn:microsoft.com/office/officeart/2005/8/layout/radial3"/>
    <dgm:cxn modelId="{DCE89FA5-1800-4F5F-A5D4-0354DD7CAADC}" srcId="{9D129FD1-D4D7-42C3-8D89-568DCAC64297}" destId="{19D0E197-D6F2-4076-B627-1E522B46037F}" srcOrd="9" destOrd="0" parTransId="{0AC50BFC-5840-4F11-97D2-FE667BA807C3}" sibTransId="{BF74FDAA-DCF5-4E28-BE13-65EE233C7BA5}"/>
    <dgm:cxn modelId="{40E9A00A-1DEB-4939-A358-89DE25046D87}" srcId="{9D129FD1-D4D7-42C3-8D89-568DCAC64297}" destId="{57D00A03-FB2F-49CB-A643-7B97492E2025}" srcOrd="0" destOrd="0" parTransId="{58BCB567-3D7E-44BB-89DB-607C6DC8CDB0}" sibTransId="{4D601B80-8C66-4063-BA20-4309264FA482}"/>
    <dgm:cxn modelId="{B75EC6CA-E8B1-410A-8F83-3BED365C65BE}" srcId="{9D129FD1-D4D7-42C3-8D89-568DCAC64297}" destId="{3A37D72A-0C8B-4D7E-AFDD-3E66B3A3DB80}" srcOrd="11" destOrd="0" parTransId="{3CB6B0F7-58D1-4E38-8783-FA1C769C5990}" sibTransId="{A0124DF7-D2E5-449D-A183-393EC874A93B}"/>
    <dgm:cxn modelId="{FAF6306E-25ED-4A73-BEC0-059F2045EEFA}" srcId="{1AECB152-05E5-42A8-9AD2-8F4FEB29129E}" destId="{9D129FD1-D4D7-42C3-8D89-568DCAC64297}" srcOrd="0" destOrd="0" parTransId="{6A11CE31-EF27-474B-808A-99D767E168E8}" sibTransId="{16807C09-4E4E-4514-B3B2-B3A73677B51D}"/>
    <dgm:cxn modelId="{FE84D365-DA6E-45A8-9DDF-FD6090DEB584}" srcId="{9D129FD1-D4D7-42C3-8D89-568DCAC64297}" destId="{0C3434E8-FCDF-4428-A9AA-879E9100FEEA}" srcOrd="1" destOrd="0" parTransId="{7A002C84-67D0-4A1A-8E5E-58FC880E5FEA}" sibTransId="{DA74B1DC-F2E5-4308-A0B0-56FA0DD3AAA0}"/>
    <dgm:cxn modelId="{71B5DFA6-6766-4DDA-AF52-521149F0F608}" srcId="{9D129FD1-D4D7-42C3-8D89-568DCAC64297}" destId="{0AEC3CAE-2735-4AAB-9AF5-A460E84BD21A}" srcOrd="6" destOrd="0" parTransId="{5823F5D9-8A58-4583-A4EE-16DDE0B1A1FD}" sibTransId="{10DD5584-17BA-48A0-AE05-1530A6B0138B}"/>
    <dgm:cxn modelId="{461A163B-3F6F-4DB5-8714-3A9914E58194}" type="presOf" srcId="{9D129FD1-D4D7-42C3-8D89-568DCAC64297}" destId="{7F4095E8-B023-496C-A52E-ACEE14F0BE6D}" srcOrd="0" destOrd="0" presId="urn:microsoft.com/office/officeart/2005/8/layout/radial3"/>
    <dgm:cxn modelId="{6FFC4519-95F0-4DA8-8897-7630856324CB}" type="presOf" srcId="{1AECB152-05E5-42A8-9AD2-8F4FEB29129E}" destId="{92576859-9EAE-4C70-94DF-78F676B53DA9}" srcOrd="0" destOrd="0" presId="urn:microsoft.com/office/officeart/2005/8/layout/radial3"/>
    <dgm:cxn modelId="{2F23E397-9BA3-4227-B012-00C66BDF9080}" srcId="{9D129FD1-D4D7-42C3-8D89-568DCAC64297}" destId="{7BF9FB61-A900-41CF-834E-85B86E0013FB}" srcOrd="12" destOrd="0" parTransId="{34E25F66-A148-4F0D-B7C2-23D22FEBCBBB}" sibTransId="{9BED2968-7BEF-416A-9059-ECB215534724}"/>
    <dgm:cxn modelId="{E0311916-1507-49D9-B59F-62454E016EB6}" type="presOf" srcId="{FD3AEB9E-821B-4B56-A4BC-021BE989FA03}" destId="{B5177C9C-01F6-40ED-8B27-EF0320BD2480}" srcOrd="0" destOrd="0" presId="urn:microsoft.com/office/officeart/2005/8/layout/radial3"/>
    <dgm:cxn modelId="{39B48EAA-A605-4A3C-A23C-92EAD9AA1DB4}" srcId="{9D129FD1-D4D7-42C3-8D89-568DCAC64297}" destId="{0736155B-961A-4F75-9F9D-C23F7147294E}" srcOrd="8" destOrd="0" parTransId="{BE3BCE8D-B93F-4063-86C1-977A0B3C80D7}" sibTransId="{AD3B611E-6604-46DA-89B8-53B5AB6E0594}"/>
    <dgm:cxn modelId="{CB65E302-B302-48B3-BA2C-E670BD038534}" type="presOf" srcId="{19D0E197-D6F2-4076-B627-1E522B46037F}" destId="{702EBF0F-56AB-4058-B734-1500D2E407AD}" srcOrd="0" destOrd="0" presId="urn:microsoft.com/office/officeart/2005/8/layout/radial3"/>
    <dgm:cxn modelId="{B60AC8F0-FFCF-40F1-8FA6-879E708D405D}" srcId="{9D129FD1-D4D7-42C3-8D89-568DCAC64297}" destId="{0E4319AE-9C0D-438F-B4D1-8537395FE5BB}" srcOrd="4" destOrd="0" parTransId="{F4C1E89D-76BA-43CB-ADC9-592F36DE4E25}" sibTransId="{A78EB445-40E4-4158-8DEA-4521D9A29640}"/>
    <dgm:cxn modelId="{D222D574-2CC1-457A-972B-6D9F83B292C4}" type="presOf" srcId="{0AEC3CAE-2735-4AAB-9AF5-A460E84BD21A}" destId="{5E7D5935-9805-4B26-8136-99E40992000F}" srcOrd="0" destOrd="0" presId="urn:microsoft.com/office/officeart/2005/8/layout/radial3"/>
    <dgm:cxn modelId="{CBB598DC-BEE2-448E-B14A-145CCCC87D57}" type="presOf" srcId="{5DAB6DC3-CDEF-4480-9151-A495CD784F0B}" destId="{2BF7361A-9F8D-4033-934D-7FC4FE5C9717}" srcOrd="0" destOrd="0" presId="urn:microsoft.com/office/officeart/2005/8/layout/radial3"/>
    <dgm:cxn modelId="{B989076A-2988-4287-9A49-0235E5145EB5}" srcId="{9D129FD1-D4D7-42C3-8D89-568DCAC64297}" destId="{FD3AEB9E-821B-4B56-A4BC-021BE989FA03}" srcOrd="5" destOrd="0" parTransId="{32E1FC80-AAD4-4A19-9EDC-BD3EAD88B35A}" sibTransId="{39EB7A60-9BCD-4B46-92B3-2148B64ADC5C}"/>
    <dgm:cxn modelId="{740E2350-C8CA-4DF6-95FD-14A557ED1D42}" type="presOf" srcId="{7923B911-4C51-4A9F-A0C7-1270AD07E2CE}" destId="{C527AF6F-439A-4BE6-B4DB-4BB1EAC482DB}" srcOrd="0" destOrd="0" presId="urn:microsoft.com/office/officeart/2005/8/layout/radial3"/>
    <dgm:cxn modelId="{65F39B91-73E5-4011-AE9E-EBF757B80F32}" type="presOf" srcId="{7BF9FB61-A900-41CF-834E-85B86E0013FB}" destId="{F8DC60FB-7234-4984-B09B-557B197C23C6}" srcOrd="0" destOrd="0" presId="urn:microsoft.com/office/officeart/2005/8/layout/radial3"/>
    <dgm:cxn modelId="{ACCF830B-9A49-4598-8FC5-708CDDAA1652}" srcId="{9D129FD1-D4D7-42C3-8D89-568DCAC64297}" destId="{5DAB6DC3-CDEF-4480-9151-A495CD784F0B}" srcOrd="10" destOrd="0" parTransId="{D9DC3E95-398B-4B22-98B5-E7CEF23F70C2}" sibTransId="{9A7009B4-51F4-4D8F-9CA3-8B1401F977EF}"/>
    <dgm:cxn modelId="{F5C1433E-93E9-4C53-A016-F4DBA317B1CB}" srcId="{9D129FD1-D4D7-42C3-8D89-568DCAC64297}" destId="{0189F788-E711-48B4-87D7-3E45A9306017}" srcOrd="7" destOrd="0" parTransId="{EFABED79-51AC-405F-91C4-576BD114307E}" sibTransId="{56E248DB-5606-4918-B4A1-8959E4A62610}"/>
    <dgm:cxn modelId="{F636D527-E0C8-426F-81BA-E89E63F6D5BF}" srcId="{9D129FD1-D4D7-42C3-8D89-568DCAC64297}" destId="{7923B911-4C51-4A9F-A0C7-1270AD07E2CE}" srcOrd="2" destOrd="0" parTransId="{EBB4D475-B66A-4A1B-8FB2-A9EF9412472C}" sibTransId="{9602E106-0EFB-4E75-8D76-8F4D1D055E74}"/>
    <dgm:cxn modelId="{6D82AC50-AC0F-40C3-9DAE-E8F860D0616F}" type="presOf" srcId="{3A37D72A-0C8B-4D7E-AFDD-3E66B3A3DB80}" destId="{07D574D7-F07B-4686-9255-1619946F7BE9}" srcOrd="0" destOrd="0" presId="urn:microsoft.com/office/officeart/2005/8/layout/radial3"/>
    <dgm:cxn modelId="{8D6B4DF8-8FE9-4C87-A8C6-7049228F10D9}" type="presOf" srcId="{0E4319AE-9C0D-438F-B4D1-8537395FE5BB}" destId="{DDBAF969-4393-4701-B405-316FAD5642F5}" srcOrd="0" destOrd="0" presId="urn:microsoft.com/office/officeart/2005/8/layout/radial3"/>
    <dgm:cxn modelId="{EB1F3B86-22AB-4E45-B84C-B9C504B1DBEE}" type="presOf" srcId="{EF6A256C-D33C-453E-88D9-49490AB1935F}" destId="{CF8F57CD-6E76-4180-BF93-A9476178E816}" srcOrd="0" destOrd="0" presId="urn:microsoft.com/office/officeart/2005/8/layout/radial3"/>
    <dgm:cxn modelId="{E74E3DD4-204D-4415-B366-8B2C33E92E83}" type="presOf" srcId="{0C3434E8-FCDF-4428-A9AA-879E9100FEEA}" destId="{631D9EC9-FA0B-4543-A810-F4140C85B4A5}" srcOrd="0" destOrd="0" presId="urn:microsoft.com/office/officeart/2005/8/layout/radial3"/>
    <dgm:cxn modelId="{8DD7F5A3-1B2D-4214-AF01-7D3C6FA44DE0}" type="presOf" srcId="{0189F788-E711-48B4-87D7-3E45A9306017}" destId="{94825804-48CE-414C-A08C-55E76B488D63}" srcOrd="0" destOrd="0" presId="urn:microsoft.com/office/officeart/2005/8/layout/radial3"/>
    <dgm:cxn modelId="{3DD40D5A-CC8C-48FC-9624-0C346070F03A}" type="presParOf" srcId="{92576859-9EAE-4C70-94DF-78F676B53DA9}" destId="{BA35DF24-4D5F-40B1-8193-2903D8E1E5E3}" srcOrd="0" destOrd="0" presId="urn:microsoft.com/office/officeart/2005/8/layout/radial3"/>
    <dgm:cxn modelId="{1A10764D-DEF4-44A9-83C2-C28534503F64}" type="presParOf" srcId="{BA35DF24-4D5F-40B1-8193-2903D8E1E5E3}" destId="{7F4095E8-B023-496C-A52E-ACEE14F0BE6D}" srcOrd="0" destOrd="0" presId="urn:microsoft.com/office/officeart/2005/8/layout/radial3"/>
    <dgm:cxn modelId="{C82BE266-5684-436C-A808-18BFBB8ECBB6}" type="presParOf" srcId="{BA35DF24-4D5F-40B1-8193-2903D8E1E5E3}" destId="{D7A6EBE8-B762-40FC-996B-116A68A1C5C2}" srcOrd="1" destOrd="0" presId="urn:microsoft.com/office/officeart/2005/8/layout/radial3"/>
    <dgm:cxn modelId="{B069CA88-EAE2-41E6-A8C2-6C2F6F912920}" type="presParOf" srcId="{BA35DF24-4D5F-40B1-8193-2903D8E1E5E3}" destId="{631D9EC9-FA0B-4543-A810-F4140C85B4A5}" srcOrd="2" destOrd="0" presId="urn:microsoft.com/office/officeart/2005/8/layout/radial3"/>
    <dgm:cxn modelId="{EC0E550F-0D6D-40FF-BB64-F0EC95AE9C8E}" type="presParOf" srcId="{BA35DF24-4D5F-40B1-8193-2903D8E1E5E3}" destId="{C527AF6F-439A-4BE6-B4DB-4BB1EAC482DB}" srcOrd="3" destOrd="0" presId="urn:microsoft.com/office/officeart/2005/8/layout/radial3"/>
    <dgm:cxn modelId="{B110493C-D3A6-46CD-B18A-AAD94B15076F}" type="presParOf" srcId="{BA35DF24-4D5F-40B1-8193-2903D8E1E5E3}" destId="{CF8F57CD-6E76-4180-BF93-A9476178E816}" srcOrd="4" destOrd="0" presId="urn:microsoft.com/office/officeart/2005/8/layout/radial3"/>
    <dgm:cxn modelId="{1E2C89BD-493C-4A53-BCB6-C159F7F4CB3C}" type="presParOf" srcId="{BA35DF24-4D5F-40B1-8193-2903D8E1E5E3}" destId="{DDBAF969-4393-4701-B405-316FAD5642F5}" srcOrd="5" destOrd="0" presId="urn:microsoft.com/office/officeart/2005/8/layout/radial3"/>
    <dgm:cxn modelId="{50B5FD58-75FC-406A-BBE5-8F91C0B6D4EA}" type="presParOf" srcId="{BA35DF24-4D5F-40B1-8193-2903D8E1E5E3}" destId="{B5177C9C-01F6-40ED-8B27-EF0320BD2480}" srcOrd="6" destOrd="0" presId="urn:microsoft.com/office/officeart/2005/8/layout/radial3"/>
    <dgm:cxn modelId="{5B37AC7C-8591-4AFB-B108-58BF0078A5CE}" type="presParOf" srcId="{BA35DF24-4D5F-40B1-8193-2903D8E1E5E3}" destId="{5E7D5935-9805-4B26-8136-99E40992000F}" srcOrd="7" destOrd="0" presId="urn:microsoft.com/office/officeart/2005/8/layout/radial3"/>
    <dgm:cxn modelId="{B5A7F94C-F414-4A53-8959-C712F4101A4F}" type="presParOf" srcId="{BA35DF24-4D5F-40B1-8193-2903D8E1E5E3}" destId="{94825804-48CE-414C-A08C-55E76B488D63}" srcOrd="8" destOrd="0" presId="urn:microsoft.com/office/officeart/2005/8/layout/radial3"/>
    <dgm:cxn modelId="{F09537A8-5FC2-41DB-B5AE-8D9756FFA942}" type="presParOf" srcId="{BA35DF24-4D5F-40B1-8193-2903D8E1E5E3}" destId="{080EED1D-A55C-48FC-B287-D26CCA3FB3E0}" srcOrd="9" destOrd="0" presId="urn:microsoft.com/office/officeart/2005/8/layout/radial3"/>
    <dgm:cxn modelId="{C9BBCDE9-AD9B-477F-8EE9-494255AE6EDD}" type="presParOf" srcId="{BA35DF24-4D5F-40B1-8193-2903D8E1E5E3}" destId="{702EBF0F-56AB-4058-B734-1500D2E407AD}" srcOrd="10" destOrd="0" presId="urn:microsoft.com/office/officeart/2005/8/layout/radial3"/>
    <dgm:cxn modelId="{0729E6BE-6148-4489-A05E-2C4B3F5B1038}" type="presParOf" srcId="{BA35DF24-4D5F-40B1-8193-2903D8E1E5E3}" destId="{2BF7361A-9F8D-4033-934D-7FC4FE5C9717}" srcOrd="11" destOrd="0" presId="urn:microsoft.com/office/officeart/2005/8/layout/radial3"/>
    <dgm:cxn modelId="{D160B3DE-90EB-4EDB-AEE0-5C027ECB2479}" type="presParOf" srcId="{BA35DF24-4D5F-40B1-8193-2903D8E1E5E3}" destId="{07D574D7-F07B-4686-9255-1619946F7BE9}" srcOrd="12" destOrd="0" presId="urn:microsoft.com/office/officeart/2005/8/layout/radial3"/>
    <dgm:cxn modelId="{E073D4CF-3A8F-4127-888E-DCC78D3D4D79}" type="presParOf" srcId="{BA35DF24-4D5F-40B1-8193-2903D8E1E5E3}" destId="{F8DC60FB-7234-4984-B09B-557B197C23C6}" srcOrd="13" destOrd="0" presId="urn:microsoft.com/office/officeart/2005/8/layout/radial3"/>
  </dgm:cxnLst>
  <dgm:bg>
    <a:solidFill>
      <a:schemeClr val="accent1">
        <a:lumMod val="20000"/>
        <a:lumOff val="80000"/>
      </a:schemeClr>
    </a:solidFill>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4095E8-B023-496C-A52E-ACEE14F0BE6D}">
      <dsp:nvSpPr>
        <dsp:cNvPr id="0" name=""/>
        <dsp:cNvSpPr/>
      </dsp:nvSpPr>
      <dsp:spPr>
        <a:xfrm>
          <a:off x="1456850" y="1946878"/>
          <a:ext cx="2498761" cy="2498761"/>
        </a:xfrm>
        <a:prstGeom prst="ellipse">
          <a:avLst/>
        </a:prstGeom>
        <a:solidFill>
          <a:srgbClr val="4BACC6">
            <a:lumMod val="40000"/>
            <a:lumOff val="60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en-GB" sz="4000" kern="1200" dirty="0" smtClean="0">
              <a:solidFill>
                <a:sysClr val="windowText" lastClr="000000"/>
              </a:solidFill>
              <a:latin typeface="Calibri"/>
              <a:ea typeface="+mn-ea"/>
              <a:cs typeface="+mn-cs"/>
            </a:rPr>
            <a:t>Practice Nurse </a:t>
          </a:r>
          <a:endParaRPr lang="en-GB" sz="4000" kern="1200" dirty="0">
            <a:solidFill>
              <a:sysClr val="windowText" lastClr="000000"/>
            </a:solidFill>
            <a:latin typeface="Calibri"/>
            <a:ea typeface="+mn-ea"/>
            <a:cs typeface="+mn-cs"/>
          </a:endParaRPr>
        </a:p>
      </dsp:txBody>
      <dsp:txXfrm>
        <a:off x="1822785" y="2312813"/>
        <a:ext cx="1766891" cy="1766891"/>
      </dsp:txXfrm>
    </dsp:sp>
    <dsp:sp modelId="{D7A6EBE8-B762-40FC-996B-116A68A1C5C2}">
      <dsp:nvSpPr>
        <dsp:cNvPr id="0" name=""/>
        <dsp:cNvSpPr/>
      </dsp:nvSpPr>
      <dsp:spPr>
        <a:xfrm>
          <a:off x="2085750" y="507107"/>
          <a:ext cx="1240960" cy="1200680"/>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solidFill>
                <a:sysClr val="windowText" lastClr="000000"/>
              </a:solidFill>
              <a:latin typeface="Calibri"/>
              <a:ea typeface="+mn-ea"/>
              <a:cs typeface="+mn-cs"/>
            </a:rPr>
            <a:t>Clinical Pharmacist</a:t>
          </a:r>
          <a:endParaRPr lang="en-GB" sz="1400" kern="1200" dirty="0">
            <a:solidFill>
              <a:sysClr val="windowText" lastClr="000000"/>
            </a:solidFill>
            <a:latin typeface="Calibri"/>
            <a:ea typeface="+mn-ea"/>
            <a:cs typeface="+mn-cs"/>
          </a:endParaRPr>
        </a:p>
      </dsp:txBody>
      <dsp:txXfrm>
        <a:off x="2267484" y="682943"/>
        <a:ext cx="877492" cy="849008"/>
      </dsp:txXfrm>
    </dsp:sp>
    <dsp:sp modelId="{631D9EC9-FA0B-4543-A810-F4140C85B4A5}">
      <dsp:nvSpPr>
        <dsp:cNvPr id="0" name=""/>
        <dsp:cNvSpPr/>
      </dsp:nvSpPr>
      <dsp:spPr>
        <a:xfrm>
          <a:off x="3122926" y="746271"/>
          <a:ext cx="1160962" cy="1218533"/>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dirty="0" smtClean="0">
              <a:solidFill>
                <a:sysClr val="windowText" lastClr="000000"/>
              </a:solidFill>
              <a:latin typeface="Calibri"/>
              <a:ea typeface="+mn-ea"/>
              <a:cs typeface="+mn-cs"/>
            </a:rPr>
            <a:t>ANP</a:t>
          </a:r>
          <a:endParaRPr lang="en-GB" sz="1500" kern="1200" dirty="0">
            <a:solidFill>
              <a:sysClr val="windowText" lastClr="000000"/>
            </a:solidFill>
            <a:latin typeface="Calibri"/>
            <a:ea typeface="+mn-ea"/>
            <a:cs typeface="+mn-cs"/>
          </a:endParaRPr>
        </a:p>
      </dsp:txBody>
      <dsp:txXfrm>
        <a:off x="3292945" y="924721"/>
        <a:ext cx="820924" cy="861633"/>
      </dsp:txXfrm>
    </dsp:sp>
    <dsp:sp modelId="{C527AF6F-439A-4BE6-B4DB-4BB1EAC482DB}">
      <dsp:nvSpPr>
        <dsp:cNvPr id="0" name=""/>
        <dsp:cNvSpPr/>
      </dsp:nvSpPr>
      <dsp:spPr>
        <a:xfrm>
          <a:off x="3822113" y="1368982"/>
          <a:ext cx="1153428" cy="1157901"/>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solidFill>
                <a:sysClr val="windowText" lastClr="000000"/>
              </a:solidFill>
              <a:latin typeface="Calibri"/>
              <a:ea typeface="+mn-ea"/>
              <a:cs typeface="+mn-cs"/>
            </a:rPr>
            <a:t>Midwifery services</a:t>
          </a:r>
          <a:endParaRPr lang="en-GB" sz="1400" kern="1200" dirty="0">
            <a:solidFill>
              <a:sysClr val="windowText" lastClr="000000"/>
            </a:solidFill>
            <a:latin typeface="Calibri"/>
            <a:ea typeface="+mn-ea"/>
            <a:cs typeface="+mn-cs"/>
          </a:endParaRPr>
        </a:p>
      </dsp:txBody>
      <dsp:txXfrm>
        <a:off x="3991029" y="1538553"/>
        <a:ext cx="815596" cy="818759"/>
      </dsp:txXfrm>
    </dsp:sp>
    <dsp:sp modelId="{CF8F57CD-6E76-4180-BF93-A9476178E816}">
      <dsp:nvSpPr>
        <dsp:cNvPr id="0" name=""/>
        <dsp:cNvSpPr/>
      </dsp:nvSpPr>
      <dsp:spPr>
        <a:xfrm>
          <a:off x="4177370" y="2290229"/>
          <a:ext cx="1220795" cy="1149742"/>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dirty="0" smtClean="0">
              <a:solidFill>
                <a:sysClr val="windowText" lastClr="000000"/>
              </a:solidFill>
              <a:latin typeface="Calibri"/>
              <a:ea typeface="+mn-ea"/>
              <a:cs typeface="+mn-cs"/>
            </a:rPr>
            <a:t>Long term conditions</a:t>
          </a:r>
          <a:endParaRPr lang="en-GB" sz="1500" kern="1200" dirty="0">
            <a:solidFill>
              <a:sysClr val="windowText" lastClr="000000"/>
            </a:solidFill>
            <a:latin typeface="Calibri"/>
            <a:ea typeface="+mn-ea"/>
            <a:cs typeface="+mn-cs"/>
          </a:endParaRPr>
        </a:p>
      </dsp:txBody>
      <dsp:txXfrm>
        <a:off x="4356151" y="2458605"/>
        <a:ext cx="863233" cy="812990"/>
      </dsp:txXfrm>
    </dsp:sp>
    <dsp:sp modelId="{DDBAF969-4393-4701-B405-316FAD5642F5}">
      <dsp:nvSpPr>
        <dsp:cNvPr id="0" name=""/>
        <dsp:cNvSpPr/>
      </dsp:nvSpPr>
      <dsp:spPr>
        <a:xfrm>
          <a:off x="4148780" y="3268165"/>
          <a:ext cx="1249380" cy="1249380"/>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solidFill>
                <a:sysClr val="windowText" lastClr="000000"/>
              </a:solidFill>
              <a:latin typeface="Calibri"/>
              <a:ea typeface="+mn-ea"/>
              <a:cs typeface="+mn-cs"/>
            </a:rPr>
            <a:t>Social care, voluntary sector &amp; other solutions</a:t>
          </a:r>
          <a:endParaRPr lang="en-GB" sz="1400" kern="1200" dirty="0">
            <a:solidFill>
              <a:sysClr val="windowText" lastClr="000000"/>
            </a:solidFill>
            <a:latin typeface="Calibri"/>
            <a:ea typeface="+mn-ea"/>
            <a:cs typeface="+mn-cs"/>
          </a:endParaRPr>
        </a:p>
      </dsp:txBody>
      <dsp:txXfrm>
        <a:off x="4331747" y="3451132"/>
        <a:ext cx="883446" cy="883446"/>
      </dsp:txXfrm>
    </dsp:sp>
    <dsp:sp modelId="{B5177C9C-01F6-40ED-8B27-EF0320BD2480}">
      <dsp:nvSpPr>
        <dsp:cNvPr id="0" name=""/>
        <dsp:cNvSpPr/>
      </dsp:nvSpPr>
      <dsp:spPr>
        <a:xfrm>
          <a:off x="3508310" y="4265243"/>
          <a:ext cx="1324893" cy="1341810"/>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solidFill>
                <a:sysClr val="windowText" lastClr="000000"/>
              </a:solidFill>
              <a:latin typeface="Calibri"/>
              <a:ea typeface="+mn-ea"/>
              <a:cs typeface="+mn-cs"/>
            </a:rPr>
            <a:t>District Nurse / Community Matron</a:t>
          </a:r>
          <a:endParaRPr lang="en-GB" sz="1400" kern="1200" dirty="0">
            <a:solidFill>
              <a:sysClr val="windowText" lastClr="000000"/>
            </a:solidFill>
            <a:latin typeface="Calibri"/>
            <a:ea typeface="+mn-ea"/>
            <a:cs typeface="+mn-cs"/>
          </a:endParaRPr>
        </a:p>
      </dsp:txBody>
      <dsp:txXfrm>
        <a:off x="3702336" y="4461747"/>
        <a:ext cx="936841" cy="948802"/>
      </dsp:txXfrm>
    </dsp:sp>
    <dsp:sp modelId="{5E7D5935-9805-4B26-8136-99E40992000F}">
      <dsp:nvSpPr>
        <dsp:cNvPr id="0" name=""/>
        <dsp:cNvSpPr/>
      </dsp:nvSpPr>
      <dsp:spPr>
        <a:xfrm>
          <a:off x="2622753" y="4924703"/>
          <a:ext cx="1219658" cy="1181502"/>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dirty="0" smtClean="0">
              <a:solidFill>
                <a:sysClr val="windowText" lastClr="000000"/>
              </a:solidFill>
              <a:latin typeface="Calibri"/>
              <a:ea typeface="+mn-ea"/>
              <a:cs typeface="+mn-cs"/>
            </a:rPr>
            <a:t>GP</a:t>
          </a:r>
          <a:endParaRPr lang="en-GB" sz="1500" kern="1200" dirty="0">
            <a:solidFill>
              <a:sysClr val="windowText" lastClr="000000"/>
            </a:solidFill>
            <a:latin typeface="Calibri"/>
            <a:ea typeface="+mn-ea"/>
            <a:cs typeface="+mn-cs"/>
          </a:endParaRPr>
        </a:p>
      </dsp:txBody>
      <dsp:txXfrm>
        <a:off x="2801368" y="5097730"/>
        <a:ext cx="862428" cy="835448"/>
      </dsp:txXfrm>
    </dsp:sp>
    <dsp:sp modelId="{94825804-48CE-414C-A08C-55E76B488D63}">
      <dsp:nvSpPr>
        <dsp:cNvPr id="0" name=""/>
        <dsp:cNvSpPr/>
      </dsp:nvSpPr>
      <dsp:spPr>
        <a:xfrm>
          <a:off x="1541641" y="4775929"/>
          <a:ext cx="1233676" cy="1194258"/>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smtClean="0">
              <a:solidFill>
                <a:sysClr val="windowText" lastClr="000000"/>
              </a:solidFill>
              <a:latin typeface="Calibri"/>
              <a:ea typeface="+mn-ea"/>
              <a:cs typeface="+mn-cs"/>
            </a:rPr>
            <a:t>Childhood vaccinations</a:t>
          </a:r>
          <a:endParaRPr lang="en-GB" sz="1200" kern="1200" dirty="0">
            <a:solidFill>
              <a:sysClr val="windowText" lastClr="000000"/>
            </a:solidFill>
            <a:latin typeface="Calibri"/>
            <a:ea typeface="+mn-ea"/>
            <a:cs typeface="+mn-cs"/>
          </a:endParaRPr>
        </a:p>
      </dsp:txBody>
      <dsp:txXfrm>
        <a:off x="1722309" y="4950824"/>
        <a:ext cx="872340" cy="844468"/>
      </dsp:txXfrm>
    </dsp:sp>
    <dsp:sp modelId="{080EED1D-A55C-48FC-B287-D26CCA3FB3E0}">
      <dsp:nvSpPr>
        <dsp:cNvPr id="0" name=""/>
        <dsp:cNvSpPr/>
      </dsp:nvSpPr>
      <dsp:spPr>
        <a:xfrm>
          <a:off x="581728" y="4232084"/>
          <a:ext cx="1249380" cy="1249380"/>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dirty="0" smtClean="0">
              <a:solidFill>
                <a:sysClr val="windowText" lastClr="000000"/>
              </a:solidFill>
              <a:latin typeface="Calibri"/>
              <a:ea typeface="+mn-ea"/>
              <a:cs typeface="+mn-cs"/>
            </a:rPr>
            <a:t>Health Visitor </a:t>
          </a:r>
          <a:endParaRPr lang="en-GB" sz="1400" kern="1200" dirty="0">
            <a:solidFill>
              <a:sysClr val="windowText" lastClr="000000"/>
            </a:solidFill>
            <a:latin typeface="Calibri"/>
            <a:ea typeface="+mn-ea"/>
            <a:cs typeface="+mn-cs"/>
          </a:endParaRPr>
        </a:p>
      </dsp:txBody>
      <dsp:txXfrm>
        <a:off x="764695" y="4415051"/>
        <a:ext cx="883446" cy="883446"/>
      </dsp:txXfrm>
    </dsp:sp>
    <dsp:sp modelId="{702EBF0F-56AB-4058-B734-1500D2E407AD}">
      <dsp:nvSpPr>
        <dsp:cNvPr id="0" name=""/>
        <dsp:cNvSpPr/>
      </dsp:nvSpPr>
      <dsp:spPr>
        <a:xfrm>
          <a:off x="67391" y="3253794"/>
          <a:ext cx="1371532" cy="1366335"/>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Text" lastClr="000000"/>
              </a:solidFill>
              <a:latin typeface="Calibri"/>
              <a:ea typeface="+mn-ea"/>
              <a:cs typeface="+mn-cs"/>
            </a:rPr>
            <a:t>Reception</a:t>
          </a:r>
          <a:endParaRPr lang="en-GB" sz="1300" kern="1200" dirty="0" smtClean="0">
            <a:solidFill>
              <a:sysClr val="windowText" lastClr="000000"/>
            </a:solidFill>
            <a:latin typeface="Calibri"/>
            <a:ea typeface="+mn-ea"/>
            <a:cs typeface="+mn-cs"/>
          </a:endParaRPr>
        </a:p>
        <a:p>
          <a:pPr lvl="0" algn="ctr" defTabSz="533400">
            <a:lnSpc>
              <a:spcPct val="90000"/>
            </a:lnSpc>
            <a:spcBef>
              <a:spcPct val="0"/>
            </a:spcBef>
            <a:spcAft>
              <a:spcPct val="35000"/>
            </a:spcAft>
          </a:pPr>
          <a:r>
            <a:rPr lang="en-GB" sz="1200" kern="1200" dirty="0" smtClean="0">
              <a:solidFill>
                <a:sysClr val="windowText" lastClr="000000"/>
              </a:solidFill>
              <a:latin typeface="Calibri"/>
              <a:ea typeface="+mn-ea"/>
              <a:cs typeface="+mn-cs"/>
            </a:rPr>
            <a:t>Administration</a:t>
          </a:r>
          <a:endParaRPr lang="en-GB" sz="1200" kern="1200" dirty="0">
            <a:solidFill>
              <a:sysClr val="windowText" lastClr="000000"/>
            </a:solidFill>
            <a:latin typeface="Calibri"/>
            <a:ea typeface="+mn-ea"/>
            <a:cs typeface="+mn-cs"/>
          </a:endParaRPr>
        </a:p>
      </dsp:txBody>
      <dsp:txXfrm>
        <a:off x="268247" y="3453889"/>
        <a:ext cx="969820" cy="966145"/>
      </dsp:txXfrm>
    </dsp:sp>
    <dsp:sp modelId="{2BF7361A-9F8D-4033-934D-7FC4FE5C9717}">
      <dsp:nvSpPr>
        <dsp:cNvPr id="0" name=""/>
        <dsp:cNvSpPr/>
      </dsp:nvSpPr>
      <dsp:spPr>
        <a:xfrm>
          <a:off x="7958" y="2319790"/>
          <a:ext cx="1249380" cy="1249380"/>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dirty="0" smtClean="0">
              <a:solidFill>
                <a:sysClr val="windowText" lastClr="000000"/>
              </a:solidFill>
              <a:latin typeface="Calibri"/>
              <a:ea typeface="+mn-ea"/>
              <a:cs typeface="+mn-cs"/>
            </a:rPr>
            <a:t>Minor surgery</a:t>
          </a:r>
          <a:endParaRPr lang="en-GB" sz="1500" kern="1200" dirty="0">
            <a:solidFill>
              <a:sysClr val="windowText" lastClr="000000"/>
            </a:solidFill>
            <a:latin typeface="Calibri"/>
            <a:ea typeface="+mn-ea"/>
            <a:cs typeface="+mn-cs"/>
          </a:endParaRPr>
        </a:p>
      </dsp:txBody>
      <dsp:txXfrm>
        <a:off x="190925" y="2502757"/>
        <a:ext cx="883446" cy="883446"/>
      </dsp:txXfrm>
    </dsp:sp>
    <dsp:sp modelId="{07D574D7-F07B-4686-9255-1619946F7BE9}">
      <dsp:nvSpPr>
        <dsp:cNvPr id="0" name=""/>
        <dsp:cNvSpPr/>
      </dsp:nvSpPr>
      <dsp:spPr>
        <a:xfrm>
          <a:off x="362482" y="1384988"/>
          <a:ext cx="1249380" cy="1249380"/>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dirty="0" smtClean="0">
              <a:solidFill>
                <a:sysClr val="windowText" lastClr="000000"/>
              </a:solidFill>
              <a:latin typeface="Calibri"/>
              <a:ea typeface="+mn-ea"/>
              <a:cs typeface="+mn-cs"/>
            </a:rPr>
            <a:t>Dietician</a:t>
          </a:r>
          <a:endParaRPr lang="en-GB" sz="1500" kern="1200" dirty="0">
            <a:solidFill>
              <a:sysClr val="windowText" lastClr="000000"/>
            </a:solidFill>
            <a:latin typeface="Calibri"/>
            <a:ea typeface="+mn-ea"/>
            <a:cs typeface="+mn-cs"/>
          </a:endParaRPr>
        </a:p>
      </dsp:txBody>
      <dsp:txXfrm>
        <a:off x="545449" y="1567955"/>
        <a:ext cx="883446" cy="883446"/>
      </dsp:txXfrm>
    </dsp:sp>
    <dsp:sp modelId="{F8DC60FB-7234-4984-B09B-557B197C23C6}">
      <dsp:nvSpPr>
        <dsp:cNvPr id="0" name=""/>
        <dsp:cNvSpPr/>
      </dsp:nvSpPr>
      <dsp:spPr>
        <a:xfrm>
          <a:off x="1040261" y="722014"/>
          <a:ext cx="1249380" cy="1249380"/>
        </a:xfrm>
        <a:prstGeom prst="ellipse">
          <a:avLst/>
        </a:prstGeom>
        <a:solidFill>
          <a:srgbClr val="4BACC6">
            <a:lumMod val="75000"/>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dirty="0" smtClean="0">
              <a:solidFill>
                <a:sysClr val="windowText" lastClr="000000"/>
              </a:solidFill>
              <a:latin typeface="Calibri"/>
              <a:ea typeface="+mn-ea"/>
              <a:cs typeface="+mn-cs"/>
            </a:rPr>
            <a:t>Treatment room wound care</a:t>
          </a:r>
          <a:endParaRPr lang="en-GB" sz="1500" kern="1200" dirty="0">
            <a:solidFill>
              <a:sysClr val="windowText" lastClr="000000"/>
            </a:solidFill>
            <a:latin typeface="Calibri"/>
            <a:ea typeface="+mn-ea"/>
            <a:cs typeface="+mn-cs"/>
          </a:endParaRPr>
        </a:p>
      </dsp:txBody>
      <dsp:txXfrm>
        <a:off x="1223228" y="904981"/>
        <a:ext cx="883446" cy="8834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2020-05-15T00:00:00</PublishDate>
  <Abstract>This is a support pack to work towards a standardised approach that will benefit all nurses making the transition into General Practice. This Career Framework for GPN can also provide a clear journey through the potential career path as a nurse in the primary care setting, beyond the induction and preceptorship period and through to more advanced roles.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General Practice Nurse Education and Training Support Pack</vt:lpstr>
    </vt:vector>
  </TitlesOfParts>
  <Company>CHESHIRE TRAINING HUB</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Practice Nurse Education and Training Support Pack</dc:title>
  <dc:subject>Sub-category of Governance Framework for Training and Education in Primary Care</dc:subject>
  <dc:creator>Heather Glover Cheshire Training Hub</dc:creator>
  <cp:lastModifiedBy>Falan Barton</cp:lastModifiedBy>
  <cp:revision>2</cp:revision>
  <dcterms:created xsi:type="dcterms:W3CDTF">2021-02-16T10:13:00Z</dcterms:created>
  <dcterms:modified xsi:type="dcterms:W3CDTF">2021-02-16T10:13:00Z</dcterms:modified>
</cp:coreProperties>
</file>